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after="0" w:lineRule="auto" w:line="240"/>
        <w:ind w:firstLine="270" w:left="-270"/>
        <w:jc w:val="right"/>
        <w:rPr>
          <w:rFonts w:ascii="Times New Roman" w:cs="Times New Roman" w:hAnsi="Times New Roman" w:eastAsiaTheme="minorHAnsi"/>
          <w:color w:val="000000"/>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b/>
          <w:sz w:val="20"/>
          <w:szCs w:val="20"/>
        </w:rPr>
      </w:pPr>
      <w:r>
        <w:rPr>
          <w:rFonts w:ascii="Times New Roman" w:cs="Times New Roman" w:hAnsi="Times New Roman"/>
          <w:b/>
          <w:sz w:val="20"/>
          <w:szCs w:val="20"/>
        </w:rPr>
        <w:t xml:space="preserve">Modeling Time to Death of HIV Infected Patients on Antiretroviral Therapy in case of Hossana Queen Elleni Mohammad Memorial Hospital, South Ethiopia  </w:t>
      </w:r>
    </w:p>
    <w:p>
      <w:pPr>
        <w:pStyle w:val="style0"/>
        <w:spacing w:after="0" w:lineRule="auto" w:line="240"/>
        <w:ind w:firstLine="270" w:left="-270"/>
        <w:jc w:val="center"/>
        <w:rPr>
          <w:rFonts w:ascii="Times New Roman" w:cs="Times New Roman" w:hAnsi="Times New Roman"/>
          <w:b/>
          <w:bCs/>
          <w:sz w:val="20"/>
          <w:szCs w:val="20"/>
        </w:rPr>
      </w:pPr>
    </w:p>
    <w:p>
      <w:pPr>
        <w:pStyle w:val="style0"/>
        <w:tabs>
          <w:tab w:val="left" w:leader="none" w:pos="4110"/>
        </w:tabs>
        <w:spacing w:after="0" w:lineRule="auto" w:line="240"/>
        <w:ind w:firstLine="270" w:left="-270"/>
        <w:jc w:val="center"/>
        <w:rPr>
          <w:rStyle w:val="style4098"/>
          <w:rFonts w:ascii="Times New Roman" w:cs="Times New Roman" w:hAnsi="Times New Roman"/>
          <w:sz w:val="20"/>
          <w:szCs w:val="20"/>
        </w:rPr>
      </w:pPr>
      <w:r>
        <w:rPr>
          <w:rStyle w:val="style4098"/>
          <w:rFonts w:ascii="Times New Roman" w:cs="Times New Roman" w:hAnsi="Times New Roman"/>
          <w:sz w:val="20"/>
          <w:szCs w:val="20"/>
        </w:rPr>
        <w:t>A</w:t>
      </w:r>
      <w:r>
        <w:rPr>
          <w:rStyle w:val="style4098"/>
          <w:rFonts w:ascii="Times New Roman" w:cs="Times New Roman" w:hAnsi="Times New Roman"/>
          <w:sz w:val="20"/>
          <w:szCs w:val="20"/>
        </w:rPr>
        <w:t>dinew Handiso Arficho</w:t>
      </w:r>
    </w:p>
    <w:p>
      <w:pPr>
        <w:pStyle w:val="style0"/>
        <w:tabs>
          <w:tab w:val="left" w:leader="none" w:pos="4110"/>
        </w:tabs>
        <w:spacing w:after="0" w:lineRule="auto" w:line="240"/>
        <w:ind w:firstLine="270" w:left="-270"/>
        <w:jc w:val="center"/>
        <w:rPr>
          <w:rStyle w:val="style4098"/>
          <w:rFonts w:ascii="Times New Roman" w:cs="Times New Roman" w:hAnsi="Times New Roman"/>
          <w:sz w:val="20"/>
          <w:szCs w:val="20"/>
        </w:rPr>
      </w:pPr>
      <w:r>
        <w:rPr>
          <w:rFonts w:ascii="Times New Roman" w:cs="Times New Roman" w:hAnsi="Times New Roman" w:eastAsiaTheme="minorHAnsi"/>
          <w:color w:val="000000"/>
          <w:sz w:val="20"/>
          <w:szCs w:val="20"/>
        </w:rPr>
        <w:t xml:space="preserve">Department of Statistics, </w:t>
      </w:r>
      <w:r>
        <w:rPr>
          <w:rFonts w:ascii="Times New Roman" w:cs="Times New Roman" w:hAnsi="Times New Roman" w:eastAsiaTheme="minorHAnsi"/>
          <w:sz w:val="20"/>
          <w:szCs w:val="20"/>
        </w:rPr>
        <w:t>W</w:t>
      </w:r>
      <w:r>
        <w:rPr>
          <w:rFonts w:ascii="Times New Roman" w:cs="Times New Roman" w:hAnsi="Times New Roman" w:eastAsiaTheme="minorHAnsi"/>
          <w:sz w:val="20"/>
          <w:szCs w:val="20"/>
        </w:rPr>
        <w:t xml:space="preserve">achamo </w:t>
      </w:r>
      <w:r>
        <w:rPr>
          <w:rFonts w:ascii="Times New Roman" w:cs="Times New Roman" w:hAnsi="Times New Roman" w:eastAsiaTheme="minorHAnsi"/>
          <w:sz w:val="20"/>
          <w:szCs w:val="20"/>
        </w:rPr>
        <w:t>University P.O.Box 138, Wolaita Sodo, Etiopia</w:t>
      </w:r>
      <w:r>
        <w:rPr>
          <w:rFonts w:ascii="Times New Roman" w:cs="Times New Roman" w:hAnsi="Times New Roman" w:eastAsiaTheme="minorHAnsi"/>
          <w:color w:val="000000"/>
          <w:sz w:val="20"/>
          <w:szCs w:val="20"/>
        </w:rPr>
        <w:t xml:space="preserve"> </w:t>
      </w:r>
    </w:p>
    <w:bookmarkStart w:id="0" w:name="_Toc451494678"/>
    <w:bookmarkStart w:id="1" w:name="_Toc451496272"/>
    <w:bookmarkStart w:id="2" w:name="_Toc451496775"/>
    <w:bookmarkStart w:id="3" w:name="_Toc451522805"/>
    <w:bookmarkStart w:id="4" w:name="_Toc451742044"/>
    <w:bookmarkStart w:id="5" w:name="_Toc451742786"/>
    <w:bookmarkStart w:id="6" w:name="_Toc452191048"/>
    <w:bookmarkStart w:id="7" w:name="_Toc452191597"/>
    <w:bookmarkStart w:id="8" w:name="_Toc452195018"/>
    <w:bookmarkStart w:id="9" w:name="_Toc450285285"/>
    <w:bookmarkStart w:id="10" w:name="_Toc450288294"/>
    <w:bookmarkStart w:id="11" w:name="_Toc450292743"/>
    <w:bookmarkStart w:id="12" w:name="_Toc450294470"/>
    <w:bookmarkStart w:id="13" w:name="_Toc450294853"/>
    <w:bookmarkStart w:id="14" w:name="_Toc450724120"/>
    <w:bookmarkStart w:id="15" w:name="_Toc450724365"/>
    <w:p>
      <w:pPr>
        <w:pStyle w:val="style1"/>
        <w:spacing w:after="240" w:lineRule="auto" w:line="240"/>
        <w:ind w:firstLine="270" w:left="-270"/>
        <w:rPr>
          <w:rFonts w:ascii="Times New Roman" w:cs="Times New Roman" w:hAnsi="Times New Roman"/>
          <w:i/>
          <w:color w:val="auto"/>
          <w:sz w:val="20"/>
          <w:szCs w:val="20"/>
        </w:rPr>
      </w:pPr>
      <w:r>
        <w:rPr>
          <w:rFonts w:ascii="Times New Roman" w:cs="Times New Roman" w:hAnsi="Times New Roman"/>
          <w:i/>
          <w:color w:val="auto"/>
          <w:sz w:val="20"/>
          <w:szCs w:val="20"/>
        </w:rPr>
        <w:t>ABSTRACT</w:t>
      </w:r>
      <w:bookmarkEnd w:id="0"/>
      <w:bookmarkEnd w:id="1"/>
      <w:bookmarkEnd w:id="2"/>
      <w:bookmarkEnd w:id="3"/>
      <w:bookmarkEnd w:id="4"/>
      <w:bookmarkEnd w:id="5"/>
      <w:bookmarkEnd w:id="6"/>
      <w:bookmarkEnd w:id="7"/>
      <w:bookmarkEnd w:id="8"/>
    </w:p>
    <w:p>
      <w:pPr>
        <w:pStyle w:val="style0"/>
        <w:spacing w:after="0" w:lineRule="auto" w:line="240"/>
        <w:ind w:firstLine="270" w:left="-270"/>
        <w:jc w:val="both"/>
        <w:rPr>
          <w:rFonts w:ascii="Times New Roman" w:cs="Times New Roman" w:eastAsia="TimesNewRomanPSMT" w:hAnsi="Times New Roman"/>
          <w:i/>
          <w:sz w:val="20"/>
          <w:szCs w:val="20"/>
        </w:rPr>
      </w:pPr>
      <w:r>
        <w:rPr>
          <w:rFonts w:ascii="Times New Roman" w:cs="Times New Roman" w:hAnsi="Times New Roman"/>
          <w:i/>
          <w:color w:val="000000"/>
          <w:sz w:val="20"/>
          <w:szCs w:val="20"/>
        </w:rPr>
        <w:t>Human Immunodeficiency Virus (HIV) is the virus that causes Acquired Immune Deficie</w:t>
      </w:r>
      <w:r>
        <w:rPr>
          <w:rFonts w:ascii="Times New Roman" w:cs="Times New Roman" w:hAnsi="Times New Roman"/>
          <w:i/>
          <w:color w:val="000000"/>
          <w:sz w:val="20"/>
          <w:szCs w:val="20"/>
        </w:rPr>
        <w:t>ncy Syndrome (AIDS). HIV attack</w:t>
      </w:r>
      <w:r>
        <w:rPr>
          <w:rFonts w:ascii="Times New Roman" w:cs="Times New Roman" w:hAnsi="Times New Roman"/>
          <w:i/>
          <w:color w:val="000000"/>
          <w:sz w:val="20"/>
          <w:szCs w:val="20"/>
        </w:rPr>
        <w:t>s and destroys certain types of white blood cells that are essential to body's immune system, the biological ability of the human body to fight infections.</w:t>
      </w:r>
      <w:r>
        <w:rPr>
          <w:rFonts w:ascii="Times New Roman" w:cs="Times New Roman" w:hAnsi="Times New Roman"/>
          <w:i/>
          <w:color w:val="000000"/>
          <w:sz w:val="20"/>
          <w:szCs w:val="20"/>
        </w:rPr>
        <w:t xml:space="preserve"> </w:t>
      </w:r>
      <w:r>
        <w:rPr>
          <w:rFonts w:ascii="Times New Roman" w:cs="Times New Roman" w:hAnsi="Times New Roman"/>
          <w:i/>
          <w:sz w:val="20"/>
          <w:szCs w:val="20"/>
        </w:rPr>
        <w:t xml:space="preserve">The main </w:t>
      </w:r>
      <w:r>
        <w:rPr>
          <w:rFonts w:ascii="Times New Roman" w:cs="Times New Roman" w:hAnsi="Times New Roman"/>
          <w:i/>
          <w:iCs/>
          <w:sz w:val="20"/>
          <w:szCs w:val="20"/>
        </w:rPr>
        <w:t>aim</w:t>
      </w:r>
      <w:r>
        <w:rPr>
          <w:rFonts w:ascii="Times New Roman" w:cs="Times New Roman" w:hAnsi="Times New Roman"/>
          <w:i/>
          <w:sz w:val="20"/>
          <w:szCs w:val="20"/>
        </w:rPr>
        <w:t xml:space="preserve"> of this study is modeling the factors that affect survival time of HIV infected patients by using Cox ph and parametric survival regression models. This study is a retrospective cohort study based on data from the ART clinic</w:t>
      </w:r>
      <w:r>
        <w:rPr>
          <w:rFonts w:ascii="Times New Roman" w:cs="Times New Roman" w:eastAsia="TimesNewRomanPSMT" w:hAnsi="Times New Roman"/>
          <w:i/>
          <w:sz w:val="20"/>
          <w:szCs w:val="20"/>
        </w:rPr>
        <w:t xml:space="preserve">al in </w:t>
      </w:r>
      <w:r>
        <w:rPr>
          <w:rFonts w:ascii="Times New Roman" w:cs="Times New Roman" w:hAnsi="Times New Roman"/>
          <w:i/>
          <w:sz w:val="20"/>
          <w:szCs w:val="20"/>
        </w:rPr>
        <w:t>Hossana Queen Elleni  Mohamad Memorial Hospital , south</w:t>
      </w:r>
      <w:r>
        <w:rPr>
          <w:rFonts w:ascii="Times New Roman" w:cs="Times New Roman" w:hAnsi="Times New Roman"/>
          <w:i/>
          <w:sz w:val="20"/>
          <w:szCs w:val="20"/>
        </w:rPr>
        <w:t xml:space="preserve"> Ethiopia.  All HIV positive</w:t>
      </w:r>
      <w:r>
        <w:rPr>
          <w:rFonts w:ascii="Times New Roman" w:cs="Times New Roman" w:hAnsi="Times New Roman"/>
          <w:i/>
          <w:sz w:val="20"/>
          <w:szCs w:val="20"/>
        </w:rPr>
        <w:t xml:space="preserve"> patients who are 15 years old and above placed under ART in between February 2011 to January 2016 were </w:t>
      </w:r>
      <w:r>
        <w:rPr>
          <w:rFonts w:ascii="Times New Roman" w:cs="Times New Roman" w:hAnsi="Times New Roman"/>
          <w:i/>
          <w:sz w:val="20"/>
          <w:szCs w:val="20"/>
        </w:rPr>
        <w:t>population in</w:t>
      </w:r>
      <w:r>
        <w:rPr>
          <w:rFonts w:ascii="Times New Roman" w:cs="Times New Roman" w:hAnsi="Times New Roman"/>
          <w:i/>
          <w:sz w:val="20"/>
          <w:szCs w:val="20"/>
        </w:rPr>
        <w:t xml:space="preserve"> this study. The analytical methodologies were used the Kaplan-Meier and  Log Rank Test to estimate Descriptive analysis , Cox’s regression model was employed to identify the covariates that have a statistical significant effect on the survival time of  HIV infected patients and  exponential, weibull, log logistic and log-normal survival regression models were applied  to compare efficiency of the models.  </w:t>
      </w:r>
      <w:r>
        <w:rPr>
          <w:rFonts w:ascii="Times New Roman" w:cs="Times New Roman" w:eastAsia="TimesNewRomanPSMT" w:hAnsi="Times New Roman"/>
          <w:i/>
          <w:sz w:val="20"/>
          <w:szCs w:val="20"/>
        </w:rPr>
        <w:t xml:space="preserve">The overall mean estimated survival time of patients was </w:t>
      </w:r>
      <w:r>
        <w:rPr>
          <w:rFonts w:ascii="Times New Roman" w:cs="Times New Roman" w:hAnsi="Times New Roman"/>
          <w:i/>
          <w:sz w:val="20"/>
          <w:szCs w:val="20"/>
        </w:rPr>
        <w:t xml:space="preserve">51.5 </w:t>
      </w:r>
      <w:r>
        <w:rPr>
          <w:rFonts w:ascii="Times New Roman" w:cs="Times New Roman" w:eastAsia="TimesNewRomanPSMT" w:hAnsi="Times New Roman"/>
          <w:i/>
          <w:sz w:val="20"/>
          <w:szCs w:val="20"/>
        </w:rPr>
        <w:t xml:space="preserve">months. </w:t>
      </w:r>
      <w:r>
        <w:rPr>
          <w:rFonts w:ascii="Times New Roman" w:cs="Times New Roman" w:hAnsi="Times New Roman"/>
          <w:i/>
          <w:sz w:val="20"/>
          <w:szCs w:val="20"/>
        </w:rPr>
        <w:t>The Cox Proportional Hazards regression Model</w:t>
      </w:r>
      <w:r>
        <w:rPr>
          <w:rFonts w:ascii="Times New Roman" w:cs="Times New Roman" w:hAnsi="Times New Roman"/>
          <w:i/>
          <w:iCs/>
          <w:sz w:val="20"/>
          <w:szCs w:val="20"/>
        </w:rPr>
        <w:t xml:space="preserve"> result revealed </w:t>
      </w:r>
      <w:r>
        <w:rPr>
          <w:rFonts w:ascii="Times New Roman" w:cs="Times New Roman" w:hAnsi="Times New Roman"/>
          <w:i/>
          <w:sz w:val="20"/>
          <w:szCs w:val="20"/>
        </w:rPr>
        <w:t>that baseline weight, ART adherence, baseline CD4 count, WHO clinical stage, level of education, substance</w:t>
      </w:r>
      <w:r>
        <w:rPr>
          <w:rFonts w:ascii="Times New Roman" w:cs="Times New Roman" w:hAnsi="Times New Roman"/>
          <w:i/>
          <w:sz w:val="20"/>
          <w:szCs w:val="20"/>
        </w:rPr>
        <w:t xml:space="preserve"> use </w:t>
      </w:r>
      <w:r>
        <w:rPr>
          <w:rFonts w:ascii="Times New Roman" w:cs="Times New Roman" w:hAnsi="Times New Roman"/>
          <w:i/>
          <w:sz w:val="20"/>
          <w:szCs w:val="20"/>
        </w:rPr>
        <w:t xml:space="preserve">and TB co-infection of patients  are the major factors that affect significantly survival time of HIV infected patients. </w:t>
      </w:r>
      <w:r>
        <w:rPr>
          <w:rFonts w:ascii="Times New Roman" w:cs="Times New Roman" w:hAnsi="Times New Roman"/>
          <w:i/>
          <w:iCs/>
          <w:sz w:val="20"/>
          <w:szCs w:val="20"/>
        </w:rPr>
        <w:t xml:space="preserve">Among the parametric regression models, based on model </w:t>
      </w:r>
      <w:r>
        <w:rPr>
          <w:rFonts w:cs="Times New Roman"/>
          <w:i/>
          <w:sz w:val="20"/>
          <w:szCs w:val="20"/>
        </w:rPr>
        <w:t>Comparison</w:t>
      </w:r>
      <w:r>
        <w:rPr>
          <w:rFonts w:ascii="Times New Roman" w:cs="Times New Roman" w:hAnsi="Times New Roman"/>
          <w:i/>
          <w:iCs/>
          <w:sz w:val="20"/>
          <w:szCs w:val="20"/>
        </w:rPr>
        <w:t xml:space="preserve"> methods, the Weibull regression model is better fit. The Weibull regression model results revealed that</w:t>
      </w:r>
      <w:r>
        <w:rPr>
          <w:rFonts w:ascii="Times New Roman" w:cs="Times New Roman" w:hAnsi="Times New Roman"/>
          <w:i/>
          <w:sz w:val="20"/>
          <w:szCs w:val="20"/>
        </w:rPr>
        <w:t xml:space="preserve"> baseline weight&lt;50 kg</w:t>
      </w:r>
      <w:r>
        <w:rPr>
          <w:rFonts w:ascii="Times New Roman" w:cs="Times New Roman" w:eastAsia="TimesNewRomanPSMT" w:hAnsi="Times New Roman"/>
          <w:i/>
          <w:sz w:val="20"/>
          <w:szCs w:val="20"/>
        </w:rPr>
        <w:t>, low CD4 count at baseline</w:t>
      </w:r>
      <w:r>
        <w:rPr>
          <w:rFonts w:ascii="Times New Roman" w:cs="Times New Roman" w:hAnsi="Times New Roman"/>
          <w:i/>
          <w:sz w:val="20"/>
          <w:szCs w:val="20"/>
        </w:rPr>
        <w:t xml:space="preserve">, no education, WHO stages III and IV, poor ART adherence, </w:t>
      </w:r>
      <w:r>
        <w:rPr>
          <w:rFonts w:ascii="Times New Roman" w:cs="Times New Roman" w:eastAsia="TimesNewRomanPSMT" w:hAnsi="Times New Roman"/>
          <w:i/>
          <w:sz w:val="20"/>
          <w:szCs w:val="20"/>
        </w:rPr>
        <w:t xml:space="preserve">co-infection with TB and substance abuse </w:t>
      </w:r>
      <w:r>
        <w:rPr>
          <w:rFonts w:ascii="Times New Roman" w:cs="Times New Roman" w:hAnsi="Times New Roman"/>
          <w:i/>
          <w:sz w:val="20"/>
          <w:szCs w:val="20"/>
        </w:rPr>
        <w:t>are the categories that reduce the survival probability of HIV infected patients.</w:t>
      </w:r>
    </w:p>
    <w:p>
      <w:pPr>
        <w:pStyle w:val="style266"/>
        <w:spacing w:before="0" w:lineRule="auto" w:line="240"/>
        <w:ind w:firstLine="270" w:left="-270"/>
        <w:jc w:val="both"/>
        <w:rPr>
          <w:rFonts w:ascii="Times New Roman" w:cs="Times New Roman" w:hAnsi="Times New Roman"/>
          <w:b w:val="false"/>
          <w:i/>
          <w:color w:val="auto"/>
          <w:sz w:val="20"/>
          <w:szCs w:val="20"/>
        </w:rPr>
      </w:pPr>
      <w:r>
        <w:rPr>
          <w:rFonts w:ascii="Times New Roman" w:cs="Times New Roman" w:hAnsi="Times New Roman"/>
          <w:i/>
          <w:iCs/>
          <w:color w:val="auto"/>
          <w:sz w:val="20"/>
          <w:szCs w:val="20"/>
        </w:rPr>
        <w:t>Key Words</w:t>
      </w:r>
      <w:r>
        <w:rPr>
          <w:rFonts w:ascii="Times New Roman" w:cs="Times New Roman" w:hAnsi="Times New Roman"/>
          <w:b w:val="false"/>
          <w:i/>
          <w:iCs/>
          <w:color w:val="auto"/>
          <w:sz w:val="20"/>
          <w:szCs w:val="20"/>
        </w:rPr>
        <w:t xml:space="preserve">: Survival analysis; Cox Proportional Hazard Regression model; Weibull Regression Model </w:t>
      </w:r>
      <w:r>
        <w:rPr>
          <w:rFonts w:ascii="Times New Roman" w:cs="Times New Roman" w:hAnsi="Times New Roman"/>
          <w:b w:val="false"/>
          <w:i/>
          <w:iCs/>
          <w:color w:val="auto"/>
          <w:sz w:val="20"/>
          <w:szCs w:val="20"/>
        </w:rPr>
        <w:tab/>
      </w:r>
      <w:r>
        <w:rPr>
          <w:rFonts w:ascii="Times New Roman" w:cs="Times New Roman" w:hAnsi="Times New Roman"/>
          <w:b w:val="false"/>
          <w:i/>
          <w:iCs/>
          <w:color w:val="auto"/>
          <w:sz w:val="20"/>
          <w:szCs w:val="20"/>
        </w:rPr>
        <w:t>;</w:t>
      </w:r>
      <w:r>
        <w:rPr>
          <w:rFonts w:ascii="Times New Roman" w:cs="Times New Roman" w:hAnsi="Times New Roman" w:eastAsiaTheme="minorHAnsi"/>
          <w:b w:val="false"/>
          <w:i/>
          <w:color w:val="auto"/>
          <w:sz w:val="20"/>
          <w:szCs w:val="20"/>
        </w:rPr>
        <w:t xml:space="preserve"> Hazard ratio</w:t>
      </w:r>
    </w:p>
    <w:p>
      <w:pPr>
        <w:pStyle w:val="style0"/>
        <w:spacing w:before="240" w:after="0" w:lineRule="auto" w:line="240"/>
        <w:ind w:firstLine="270" w:left="-270"/>
        <w:rPr>
          <w:rFonts w:ascii="Times New Roman" w:cs="Times New Roman" w:eastAsia="TimesNewRomanPSMT" w:hAnsi="Times New Roman"/>
          <w:sz w:val="24"/>
          <w:szCs w:val="24"/>
        </w:rPr>
      </w:pPr>
      <w:r>
        <w:rPr>
          <w:rFonts w:ascii="Times New Roman" w:cs="Times New Roman" w:hAnsi="Times New Roman"/>
          <w:b/>
          <w:bCs/>
          <w:sz w:val="24"/>
          <w:szCs w:val="24"/>
        </w:rPr>
        <w:t>1. INTRODUCTION</w:t>
      </w:r>
    </w:p>
    <w:bookmarkStart w:id="16" w:name="_Toc443622487"/>
    <w:bookmarkStart w:id="17" w:name="_Toc443623669"/>
    <w:bookmarkStart w:id="18" w:name="_Toc443624178"/>
    <w:bookmarkStart w:id="19" w:name="_Toc443626150"/>
    <w:bookmarkStart w:id="20" w:name="_Toc443632922"/>
    <w:bookmarkStart w:id="21" w:name="_Toc450285288"/>
    <w:bookmarkStart w:id="22" w:name="_Toc450288297"/>
    <w:bookmarkStart w:id="23" w:name="_Toc450292746"/>
    <w:bookmarkStart w:id="24" w:name="_Toc450294473"/>
    <w:bookmarkStart w:id="25" w:name="_Toc450294856"/>
    <w:bookmarkStart w:id="26" w:name="_Toc450724126"/>
    <w:bookmarkStart w:id="27" w:name="_Toc450724371"/>
    <w:bookmarkStart w:id="28" w:name="_Toc451494684"/>
    <w:bookmarkStart w:id="29" w:name="_Toc451496278"/>
    <w:bookmarkStart w:id="30" w:name="_Toc451496781"/>
    <w:bookmarkStart w:id="31" w:name="_Toc451522811"/>
    <w:bookmarkStart w:id="32" w:name="_Toc451742066"/>
    <w:bookmarkStart w:id="33" w:name="_Toc451742807"/>
    <w:bookmarkStart w:id="34" w:name="_Toc452191069"/>
    <w:bookmarkStart w:id="35" w:name="_Toc452191618"/>
    <w:bookmarkStart w:id="36" w:name="_Toc452195039"/>
    <w:bookmarkEnd w:id="9"/>
    <w:bookmarkEnd w:id="10"/>
    <w:bookmarkEnd w:id="11"/>
    <w:bookmarkEnd w:id="12"/>
    <w:bookmarkEnd w:id="13"/>
    <w:bookmarkEnd w:id="14"/>
    <w:bookmarkEnd w:id="15"/>
    <w:p>
      <w:pPr>
        <w:pStyle w:val="style1"/>
        <w:numPr>
          <w:ilvl w:val="1"/>
          <w:numId w:val="32"/>
        </w:numPr>
        <w:tabs>
          <w:tab w:val="left" w:leader="none" w:pos="2546"/>
          <w:tab w:val="center" w:leader="none" w:pos="4770"/>
        </w:tabs>
        <w:spacing w:before="0" w:after="240" w:lineRule="auto" w:line="240"/>
        <w:rPr>
          <w:rFonts w:ascii="Times New Roman" w:cs="Times New Roman" w:hAnsi="Times New Roman"/>
          <w:color w:val="auto"/>
          <w:sz w:val="20"/>
          <w:szCs w:val="20"/>
        </w:rPr>
      </w:pPr>
      <w:r>
        <w:rPr>
          <w:rFonts w:ascii="Times New Roman" w:cs="Times New Roman" w:hAnsi="Times New Roman"/>
          <w:sz w:val="20"/>
          <w:szCs w:val="20"/>
        </w:rPr>
        <w:t>Background of the study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style0"/>
        <w:spacing w:before="240" w:after="0" w:lineRule="auto" w:line="240"/>
        <w:ind w:firstLine="270" w:left="-270"/>
        <w:jc w:val="both"/>
        <w:rPr>
          <w:rFonts w:ascii="Times New Roman" w:cs="Times New Roman" w:hAnsi="Times New Roman"/>
          <w:color w:val="000000"/>
          <w:sz w:val="20"/>
          <w:szCs w:val="20"/>
        </w:rPr>
      </w:pPr>
      <w:r>
        <w:rPr>
          <w:rFonts w:ascii="Times New Roman" w:cs="Times New Roman" w:hAnsi="Times New Roman"/>
          <w:color w:val="000000"/>
          <w:sz w:val="20"/>
          <w:szCs w:val="20"/>
        </w:rPr>
        <w:t>A pattern of highly unusual infection in otherwise healthy young adults emerged in the early 1980s in the unitedStates of America. This pattern or clusters of diseases that appeared in those whose immune system being attacked, came to be called Acquired Immune Deficiency Syndrome (AIDS). Between the 1983 and 1994 a new virus called Human Immunodeficiency Virus (HIV) has been identified as a cause of AIDS</w:t>
      </w:r>
      <w:r>
        <w:rPr>
          <w:rFonts w:ascii="Times New Roman" w:cs="Times New Roman" w:hAnsi="Times New Roman"/>
          <w:sz w:val="20"/>
          <w:szCs w:val="20"/>
        </w:rPr>
        <w:t>(</w:t>
      </w:r>
      <w:r>
        <w:rPr>
          <w:rFonts w:ascii="Times New Roman" w:cs="Times New Roman" w:hAnsi="Times New Roman"/>
          <w:sz w:val="20"/>
          <w:szCs w:val="20"/>
        </w:rPr>
        <w:t>UNAIDS,</w:t>
      </w:r>
      <w:r>
        <w:rPr>
          <w:rFonts w:ascii="Times New Roman" w:cs="Times New Roman" w:hAnsi="Times New Roman"/>
          <w:sz w:val="20"/>
          <w:szCs w:val="20"/>
        </w:rPr>
        <w:t xml:space="preserve"> 2005</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color w:val="000000"/>
          <w:sz w:val="20"/>
          <w:szCs w:val="20"/>
        </w:rPr>
        <w:t xml:space="preserve">Human Immunodeficiency Virus (HIV) is the virus that causes Acquired Immune Deficiency Syndrome (AIDS). People are said to be HIV positive when the HIV antibody is detected in their blood. HIV </w:t>
      </w:r>
      <w:r>
        <w:rPr>
          <w:rFonts w:ascii="Times New Roman" w:cs="Times New Roman" w:hAnsi="Times New Roman"/>
          <w:color w:val="000000"/>
          <w:sz w:val="20"/>
          <w:szCs w:val="20"/>
        </w:rPr>
        <w:t>attacks</w:t>
      </w:r>
      <w:r>
        <w:rPr>
          <w:rFonts w:ascii="Times New Roman" w:cs="Times New Roman" w:hAnsi="Times New Roman"/>
          <w:color w:val="000000"/>
          <w:sz w:val="20"/>
          <w:szCs w:val="20"/>
        </w:rPr>
        <w:t xml:space="preserve"> and destroys certain types of white blood cells that are essential to body's immune system, the biological ability of the human body to fight infections.</w:t>
      </w:r>
      <w:r>
        <w:rPr>
          <w:rFonts w:ascii="Times New Roman" w:cs="Times New Roman" w:hAnsi="Times New Roman"/>
          <w:sz w:val="20"/>
          <w:szCs w:val="20"/>
        </w:rPr>
        <w:t>HIV infects primarily vital cells in the human immune system such as helper T cells (to be specific, CD4+ T cells), macrophages, and dendritic cells that are necessary to activate B-lymphocytes and induce the production of antibodies.</w:t>
      </w:r>
      <w:r>
        <w:rPr>
          <w:rFonts w:ascii="Times New Roman" w:cs="Times New Roman" w:hAnsi="Times New Roman"/>
          <w:color w:val="000000"/>
          <w:sz w:val="20"/>
          <w:szCs w:val="20"/>
        </w:rPr>
        <w:t xml:space="preserve"> The infected person becomes </w:t>
      </w:r>
      <w:r>
        <w:rPr>
          <w:rFonts w:ascii="Times New Roman" w:cs="Times New Roman" w:hAnsi="Times New Roman"/>
          <w:color w:val="000000"/>
          <w:sz w:val="20"/>
          <w:szCs w:val="20"/>
        </w:rPr>
        <w:t>susceptible</w:t>
      </w:r>
      <w:r>
        <w:rPr>
          <w:rFonts w:ascii="Times New Roman" w:cs="Times New Roman" w:hAnsi="Times New Roman"/>
          <w:color w:val="000000"/>
          <w:sz w:val="20"/>
          <w:szCs w:val="20"/>
        </w:rPr>
        <w:t xml:space="preserve"> to a wide range of opportunistic infections, such as tuberculosis and PneumocisticCariniiPnemonia, and rare cancer such as Caposis Sarcoma</w:t>
      </w:r>
      <w:r>
        <w:rPr>
          <w:rFonts w:ascii="Times New Roman" w:cs="Times New Roman" w:hAnsi="Times New Roman"/>
          <w:sz w:val="20"/>
          <w:szCs w:val="20"/>
        </w:rPr>
        <w:t>(</w:t>
      </w:r>
      <w:r>
        <w:rPr>
          <w:rFonts w:ascii="Times New Roman" w:cs="Times New Roman" w:hAnsi="Times New Roman"/>
          <w:sz w:val="20"/>
          <w:szCs w:val="20"/>
        </w:rPr>
        <w:t>WHO, 2007</w:t>
      </w:r>
      <w:r>
        <w:rPr>
          <w:rFonts w:ascii="Times New Roman" w:cs="Times New Roman" w:hAnsi="Times New Roman"/>
          <w:sz w:val="20"/>
          <w:szCs w:val="20"/>
        </w:rPr>
        <w:t>).</w:t>
      </w:r>
    </w:p>
    <w:p>
      <w:pPr>
        <w:pStyle w:val="style0"/>
        <w:spacing w:after="0" w:lineRule="auto" w:line="240"/>
        <w:ind w:firstLine="270" w:left="-270"/>
        <w:jc w:val="both"/>
        <w:rPr>
          <w:rFonts w:ascii="Times New Roman" w:cs="Times New Roman" w:hAnsi="Times New Roman"/>
          <w:color w:val="000000"/>
          <w:sz w:val="20"/>
          <w:szCs w:val="20"/>
        </w:rPr>
      </w:pPr>
      <w:r>
        <w:rPr>
          <w:rFonts w:ascii="Times New Roman" w:cs="Times New Roman" w:hAnsi="Times New Roman"/>
          <w:color w:val="000000"/>
          <w:sz w:val="20"/>
          <w:szCs w:val="20"/>
        </w:rPr>
        <w:t xml:space="preserve">    </w:t>
      </w:r>
      <w:r>
        <w:rPr>
          <w:rFonts w:ascii="Times New Roman" w:cs="Times New Roman" w:hAnsi="Times New Roman"/>
          <w:sz w:val="20"/>
          <w:szCs w:val="20"/>
        </w:rPr>
        <w:t xml:space="preserve">From the total number of people who have died due to HIV/AIDS in 2006 alone was 88,997 and in 2007 it was estimated that 71,902 people would die (FMOH, 2007). In 2010, AIDS related death isexpected to decline to 28,073 which might be as a result of ART. Currently </w:t>
      </w:r>
      <w:r>
        <w:rPr>
          <w:rFonts w:ascii="Times New Roman" w:cs="Times New Roman" w:hAnsi="Times New Roman"/>
          <w:sz w:val="20"/>
          <w:szCs w:val="20"/>
        </w:rPr>
        <w:t>an estimated 1,217,903</w:t>
      </w:r>
      <w:r>
        <w:rPr>
          <w:rFonts w:ascii="Times New Roman" w:cs="Times New Roman" w:hAnsi="Times New Roman"/>
          <w:sz w:val="20"/>
          <w:szCs w:val="20"/>
        </w:rPr>
        <w:t xml:space="preserve"> people are living with HIV/AIDS. It is estimated </w:t>
      </w:r>
      <w:r>
        <w:rPr>
          <w:rFonts w:ascii="Times New Roman" w:cs="Times New Roman" w:hAnsi="Times New Roman"/>
          <w:sz w:val="20"/>
          <w:szCs w:val="20"/>
        </w:rPr>
        <w:t>that 398,717</w:t>
      </w:r>
      <w:r>
        <w:rPr>
          <w:rFonts w:ascii="Times New Roman" w:cs="Times New Roman" w:hAnsi="Times New Roman"/>
          <w:sz w:val="20"/>
          <w:szCs w:val="20"/>
        </w:rPr>
        <w:t xml:space="preserve"> of the HIV</w:t>
      </w:r>
      <w:r>
        <w:rPr>
          <w:rFonts w:ascii="Times New Roman" w:cs="Times New Roman" w:hAnsi="Times New Roman"/>
          <w:sz w:val="20"/>
          <w:szCs w:val="20"/>
        </w:rPr>
        <w:t xml:space="preserve"> </w:t>
      </w:r>
      <w:r>
        <w:rPr>
          <w:rFonts w:ascii="Times New Roman" w:cs="Times New Roman" w:hAnsi="Times New Roman"/>
          <w:sz w:val="20"/>
          <w:szCs w:val="20"/>
        </w:rPr>
        <w:t>positive cases a</w:t>
      </w:r>
      <w:r>
        <w:rPr>
          <w:rFonts w:ascii="Times New Roman" w:cs="Times New Roman" w:hAnsi="Times New Roman"/>
          <w:sz w:val="20"/>
          <w:szCs w:val="20"/>
        </w:rPr>
        <w:t>re in need of ART out of which 2</w:t>
      </w:r>
      <w:r>
        <w:rPr>
          <w:rFonts w:ascii="Times New Roman" w:cs="Times New Roman" w:hAnsi="Times New Roman"/>
          <w:sz w:val="20"/>
          <w:szCs w:val="20"/>
        </w:rPr>
        <w:t>6,053(6.5%) are children under 15 years ofage. It is also estimated that the all ages</w:t>
      </w:r>
      <w:r>
        <w:rPr>
          <w:rFonts w:ascii="Times New Roman" w:cs="Times New Roman" w:hAnsi="Times New Roman"/>
          <w:sz w:val="20"/>
          <w:szCs w:val="20"/>
        </w:rPr>
        <w:t xml:space="preserve"> HIV prevalence in SNNPR in 2013</w:t>
      </w:r>
      <w:r>
        <w:rPr>
          <w:rFonts w:ascii="Times New Roman" w:cs="Times New Roman" w:hAnsi="Times New Roman"/>
          <w:sz w:val="20"/>
          <w:szCs w:val="20"/>
        </w:rPr>
        <w:t xml:space="preserve"> is0.9% with 18,557 male and 27,221 female cases who live with the virus, Currently an estimated 45,778 people are living with HIV/AIDS this may increase the number of HIV positive patients</w:t>
      </w:r>
      <w:r>
        <w:rPr>
          <w:rFonts w:ascii="Times New Roman" w:cs="Times New Roman" w:hAnsi="Times New Roman"/>
          <w:sz w:val="20"/>
          <w:szCs w:val="20"/>
        </w:rPr>
        <w:t xml:space="preserve"> in the region  (NAIDSR,</w:t>
      </w:r>
      <w:r>
        <w:rPr>
          <w:rFonts w:ascii="Times New Roman" w:cs="Times New Roman" w:hAnsi="Times New Roman"/>
          <w:sz w:val="20"/>
          <w:szCs w:val="20"/>
        </w:rPr>
        <w:t xml:space="preserve"> 2014</w:t>
      </w:r>
      <w:r>
        <w:rPr>
          <w:rFonts w:ascii="Times New Roman" w:cs="Times New Roman" w:hAnsi="Times New Roman"/>
          <w:sz w:val="20"/>
          <w:szCs w:val="20"/>
        </w:rPr>
        <w:t>).</w:t>
      </w:r>
    </w:p>
    <w:p>
      <w:pPr>
        <w:pStyle w:val="style0"/>
        <w:autoSpaceDE w:val="false"/>
        <w:autoSpaceDN w:val="false"/>
        <w:adjustRightInd w:val="false"/>
        <w:spacing w:after="0" w:lineRule="auto" w:line="240"/>
        <w:ind w:firstLine="270" w:left="-270"/>
        <w:jc w:val="both"/>
        <w:rPr>
          <w:rFonts w:ascii="Times New Roman" w:cs="Times New Roman" w:hAnsi="Times New Roman"/>
          <w:i/>
          <w:sz w:val="20"/>
          <w:szCs w:val="20"/>
        </w:rPr>
      </w:pPr>
      <w:r>
        <w:rPr>
          <w:rFonts w:ascii="Times New Roman" w:cs="Times New Roman" w:hAnsi="Times New Roman"/>
          <w:sz w:val="20"/>
          <w:szCs w:val="20"/>
        </w:rPr>
        <w:t xml:space="preserve">      </w:t>
      </w:r>
      <w:r>
        <w:rPr>
          <w:rFonts w:ascii="Times New Roman" w:cs="Times New Roman" w:hAnsi="Times New Roman"/>
          <w:sz w:val="20"/>
          <w:szCs w:val="20"/>
        </w:rPr>
        <w:t>Hadiya zone is one of South Nations, Na</w:t>
      </w:r>
      <w:r>
        <w:rPr>
          <w:rFonts w:ascii="Times New Roman" w:cs="Times New Roman" w:hAnsi="Times New Roman"/>
          <w:sz w:val="20"/>
          <w:szCs w:val="20"/>
        </w:rPr>
        <w:t>tionalities and Peoples Region (SNNPR)</w:t>
      </w:r>
      <w:r>
        <w:rPr>
          <w:rFonts w:ascii="Times New Roman" w:cs="Times New Roman" w:hAnsi="Times New Roman"/>
          <w:sz w:val="20"/>
          <w:szCs w:val="20"/>
        </w:rPr>
        <w:t xml:space="preserve">, Ethiopia. SNNPR is one of the largest regions in Ethiopia, accounting for more than 10 percent of the country’s land area and the current population is approximately 17 million with an average household size of 4.8 in 2007. More than 91 percent of the SNNPR population lives in </w:t>
      </w:r>
      <w:r>
        <w:rPr>
          <w:rFonts w:ascii="Times New Roman" w:cs="Times New Roman" w:hAnsi="Times New Roman"/>
          <w:sz w:val="20"/>
          <w:szCs w:val="20"/>
        </w:rPr>
        <w:t>rural areas. The mid-2012</w:t>
      </w:r>
      <w:r>
        <w:rPr>
          <w:rFonts w:ascii="Times New Roman" w:cs="Times New Roman" w:hAnsi="Times New Roman"/>
          <w:sz w:val="20"/>
          <w:szCs w:val="20"/>
        </w:rPr>
        <w:t xml:space="preserve"> population was estimated at nearly 17,745,000. The region is divided into 13 administrativ</w:t>
      </w:r>
      <w:r>
        <w:rPr>
          <w:rFonts w:ascii="Times New Roman" w:cs="Times New Roman" w:hAnsi="Times New Roman"/>
          <w:sz w:val="20"/>
          <w:szCs w:val="20"/>
        </w:rPr>
        <w:t>e zones including Hadiya zone.</w:t>
      </w:r>
      <w:r>
        <w:rPr>
          <w:rFonts w:ascii="Times New Roman" w:cs="Times New Roman" w:hAnsi="Times New Roman"/>
          <w:sz w:val="20"/>
          <w:szCs w:val="20"/>
        </w:rPr>
        <w:t>Hadiya Zone has 10 woradas and one town administration with</w:t>
      </w:r>
      <w:r>
        <w:rPr>
          <w:rFonts w:ascii="Times New Roman" w:cs="Times New Roman" w:hAnsi="Times New Roman"/>
          <w:sz w:val="20"/>
          <w:szCs w:val="20"/>
        </w:rPr>
        <w:t xml:space="preserve"> an estimated total population of 1.5 million</w:t>
      </w:r>
      <w:r>
        <w:rPr>
          <w:rFonts w:ascii="Times New Roman" w:cs="Times New Roman" w:hAnsi="Times New Roman"/>
          <w:sz w:val="20"/>
          <w:szCs w:val="20"/>
        </w:rPr>
        <w:t>in</w:t>
      </w:r>
      <w:r>
        <w:rPr>
          <w:rFonts w:ascii="Times New Roman" w:cs="Times New Roman" w:hAnsi="Times New Roman"/>
          <w:sz w:val="20"/>
          <w:szCs w:val="20"/>
        </w:rPr>
        <w:t>20</w:t>
      </w:r>
      <w:r>
        <w:rPr>
          <w:rFonts w:ascii="Times New Roman" w:cs="Times New Roman" w:hAnsi="Times New Roman"/>
          <w:sz w:val="20"/>
          <w:szCs w:val="20"/>
        </w:rPr>
        <w:t>13</w:t>
      </w:r>
      <w:r>
        <w:rPr>
          <w:rFonts w:ascii="Times New Roman" w:cs="Times New Roman" w:hAnsi="Times New Roman"/>
          <w:sz w:val="20"/>
          <w:szCs w:val="20"/>
        </w:rPr>
        <w:t xml:space="preserve">. </w:t>
      </w:r>
      <w:r>
        <w:rPr>
          <w:rFonts w:ascii="Times New Roman" w:cs="Times New Roman" w:hAnsi="Times New Roman"/>
          <w:sz w:val="20"/>
          <w:szCs w:val="20"/>
        </w:rPr>
        <w:t>It has one zonal hospital, 37 functional public health centers and 282 health posts among which ten health centers and one zonal hospital are provide a total of 2899 HIV infected patien</w:t>
      </w:r>
      <w:r>
        <w:rPr>
          <w:rFonts w:ascii="Times New Roman" w:cs="Times New Roman" w:hAnsi="Times New Roman"/>
          <w:sz w:val="20"/>
          <w:szCs w:val="20"/>
        </w:rPr>
        <w:t>ts have visited ART clinic, 2039</w:t>
      </w:r>
      <w:r>
        <w:rPr>
          <w:rFonts w:ascii="Times New Roman" w:cs="Times New Roman" w:hAnsi="Times New Roman"/>
          <w:sz w:val="20"/>
          <w:szCs w:val="20"/>
        </w:rPr>
        <w:t xml:space="preserve"> ever started </w:t>
      </w:r>
      <w:r>
        <w:rPr>
          <w:rFonts w:ascii="Times New Roman" w:cs="Times New Roman" w:hAnsi="Times New Roman"/>
          <w:sz w:val="20"/>
          <w:szCs w:val="20"/>
        </w:rPr>
        <w:t>ART of which 258</w:t>
      </w:r>
      <w:r>
        <w:rPr>
          <w:rFonts w:ascii="Times New Roman" w:cs="Times New Roman" w:hAnsi="Times New Roman"/>
          <w:sz w:val="20"/>
          <w:szCs w:val="20"/>
        </w:rPr>
        <w:t xml:space="preserve"> have died</w:t>
      </w:r>
      <w:r>
        <w:rPr>
          <w:rFonts w:ascii="Times New Roman" w:cs="Times New Roman" w:hAnsi="Times New Roman"/>
          <w:i/>
          <w:sz w:val="20"/>
          <w:szCs w:val="20"/>
        </w:rPr>
        <w:t>(</w:t>
      </w:r>
      <w:r>
        <w:rPr>
          <w:rStyle w:val="style97"/>
          <w:rFonts w:ascii="Times New Roman" w:cs="Times New Roman" w:hAnsi="Times New Roman"/>
          <w:i w:val="false"/>
          <w:sz w:val="20"/>
          <w:szCs w:val="20"/>
        </w:rPr>
        <w:t>HZHD</w:t>
      </w:r>
      <w:r>
        <w:rPr>
          <w:rStyle w:val="style97"/>
          <w:rFonts w:ascii="Times New Roman" w:cs="Times New Roman" w:hAnsi="Times New Roman"/>
          <w:i w:val="false"/>
          <w:sz w:val="20"/>
          <w:szCs w:val="20"/>
        </w:rPr>
        <w:t>,</w:t>
      </w:r>
      <w:r>
        <w:rPr>
          <w:rStyle w:val="style97"/>
          <w:rFonts w:ascii="Times New Roman" w:cs="Times New Roman" w:hAnsi="Times New Roman"/>
          <w:i w:val="false"/>
          <w:sz w:val="20"/>
          <w:szCs w:val="20"/>
        </w:rPr>
        <w:t xml:space="preserve"> 2014</w:t>
      </w:r>
      <w:r>
        <w:rPr>
          <w:rStyle w:val="style97"/>
          <w:rFonts w:ascii="Times New Roman" w:cs="Times New Roman" w:hAnsi="Times New Roman"/>
          <w:i w:val="false"/>
          <w:sz w:val="20"/>
          <w:szCs w:val="20"/>
        </w:rPr>
        <w:t>)</w:t>
      </w:r>
      <w:r>
        <w:rPr>
          <w:rStyle w:val="style97"/>
          <w:rFonts w:ascii="Times New Roman" w:cs="Times New Roman" w:hAnsi="Times New Roman"/>
          <w:i w:val="false"/>
          <w:sz w:val="20"/>
          <w:szCs w:val="20"/>
        </w:rPr>
        <w:t>.</w:t>
      </w:r>
    </w:p>
    <w:bookmarkStart w:id="37" w:name="_Toc443622488"/>
    <w:bookmarkStart w:id="38" w:name="_Toc443623670"/>
    <w:bookmarkStart w:id="39" w:name="_Toc443624179"/>
    <w:bookmarkStart w:id="40" w:name="_Toc443626151"/>
    <w:bookmarkStart w:id="41" w:name="_Toc450285289"/>
    <w:bookmarkStart w:id="42" w:name="_Toc450288298"/>
    <w:bookmarkStart w:id="43" w:name="_Toc450292747"/>
    <w:bookmarkStart w:id="44" w:name="_Toc450294474"/>
    <w:bookmarkStart w:id="45" w:name="_Toc450294857"/>
    <w:bookmarkStart w:id="46" w:name="_Toc450724127"/>
    <w:bookmarkStart w:id="47" w:name="_Toc450724372"/>
    <w:bookmarkStart w:id="48" w:name="_Toc451494685"/>
    <w:bookmarkStart w:id="49" w:name="_Toc451496279"/>
    <w:bookmarkStart w:id="50" w:name="_Toc451496782"/>
    <w:bookmarkStart w:id="51" w:name="_Toc451522812"/>
    <w:bookmarkStart w:id="52" w:name="_Toc451742067"/>
    <w:bookmarkStart w:id="53" w:name="_Toc451742808"/>
    <w:bookmarkStart w:id="54" w:name="_Toc452191070"/>
    <w:bookmarkStart w:id="55" w:name="_Toc452191619"/>
    <w:bookmarkStart w:id="56" w:name="_Toc452195040"/>
    <w:p>
      <w:pPr>
        <w:pStyle w:val="style2"/>
        <w:spacing w:lineRule="auto" w:line="240"/>
        <w:ind w:firstLine="270" w:left="-270" w:right="144"/>
        <w:rPr>
          <w:rFonts w:ascii="Times New Roman" w:cs="Times New Roman" w:hAnsi="Times New Roman"/>
          <w:color w:val="000000"/>
          <w:sz w:val="20"/>
          <w:szCs w:val="20"/>
        </w:rPr>
      </w:pPr>
      <w:r>
        <w:rPr>
          <w:rFonts w:ascii="Times New Roman" w:cs="Times New Roman" w:hAnsi="Times New Roman"/>
          <w:bCs w:val="false"/>
          <w:color w:val="000000"/>
          <w:sz w:val="20"/>
          <w:szCs w:val="20"/>
        </w:rPr>
        <w:t xml:space="preserve">             1.</w:t>
      </w:r>
      <w:r>
        <w:rPr>
          <w:rFonts w:ascii="Times New Roman" w:cs="Times New Roman" w:hAnsi="Times New Roman"/>
          <w:bCs w:val="false"/>
          <w:color w:val="000000"/>
          <w:sz w:val="20"/>
          <w:szCs w:val="20"/>
        </w:rPr>
        <w:t>2</w:t>
      </w:r>
      <w:r>
        <w:rPr>
          <w:rFonts w:ascii="Times New Roman" w:cs="Times New Roman" w:hAnsi="Times New Roman"/>
          <w:bCs w:val="false"/>
          <w:color w:val="000000"/>
          <w:sz w:val="20"/>
          <w:szCs w:val="20"/>
        </w:rPr>
        <w:t>.</w:t>
      </w:r>
      <w:r>
        <w:rPr>
          <w:rFonts w:ascii="Times New Roman" w:cs="Times New Roman" w:hAnsi="Times New Roman"/>
          <w:bCs w:val="false"/>
          <w:color w:val="000000"/>
          <w:sz w:val="20"/>
          <w:szCs w:val="20"/>
        </w:rPr>
        <w:t xml:space="preserve"> Statement of the Problem</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style4097"/>
        <w:ind w:firstLine="270" w:left="-270"/>
        <w:jc w:val="both"/>
        <w:rPr>
          <w:rFonts w:ascii="Times New Roman" w:cs="Times New Roman" w:hAnsi="Times New Roman"/>
          <w:sz w:val="20"/>
          <w:szCs w:val="20"/>
        </w:rPr>
      </w:pPr>
      <w:r>
        <w:rPr>
          <w:rFonts w:ascii="Times New Roman" w:cs="Times New Roman" w:hAnsi="Times New Roman"/>
          <w:sz w:val="20"/>
          <w:szCs w:val="20"/>
        </w:rPr>
        <w:t>Today, Ethiopia has made progress in reducing the number of HIV/AIDS death nationally, but the observed changes are not sufficient enough compared to the desired goals of the response against the epidemic.</w:t>
      </w:r>
      <w:r>
        <w:rPr>
          <w:rFonts w:ascii="Times New Roman" w:cs="Times New Roman" w:hAnsi="Times New Roman"/>
          <w:sz w:val="20"/>
          <w:szCs w:val="20"/>
        </w:rPr>
        <w:t xml:space="preserve"> </w:t>
      </w:r>
      <w:r>
        <w:rPr>
          <w:rFonts w:ascii="Times New Roman" w:cs="Times New Roman" w:hAnsi="Times New Roman"/>
          <w:sz w:val="20"/>
          <w:szCs w:val="20"/>
        </w:rPr>
        <w:t xml:space="preserve">Investigating the existence of significant </w:t>
      </w:r>
      <w:r>
        <w:rPr>
          <w:rFonts w:ascii="Times New Roman" w:cs="Times New Roman" w:hAnsi="Times New Roman"/>
          <w:sz w:val="20"/>
          <w:szCs w:val="20"/>
        </w:rPr>
        <w:t>associations between the different factors and HIV</w:t>
      </w:r>
      <w:r>
        <w:rPr>
          <w:rFonts w:ascii="Times New Roman" w:cs="Times New Roman" w:hAnsi="Times New Roman"/>
          <w:sz w:val="20"/>
          <w:szCs w:val="20"/>
        </w:rPr>
        <w:t>/ADIS</w:t>
      </w:r>
      <w:r>
        <w:rPr>
          <w:rFonts w:ascii="Times New Roman" w:cs="Times New Roman" w:hAnsi="Times New Roman"/>
          <w:sz w:val="20"/>
          <w:szCs w:val="20"/>
        </w:rPr>
        <w:t xml:space="preserve"> mortality can provide evidence for informed protection mechanisms. Most of the researches conducted previously in Ethiopia focused more on the prevention of people from infection by HIV</w:t>
      </w:r>
      <w:r>
        <w:rPr>
          <w:rFonts w:ascii="Times New Roman" w:cs="Times New Roman" w:hAnsi="Times New Roman"/>
          <w:sz w:val="20"/>
          <w:szCs w:val="20"/>
        </w:rPr>
        <w:t xml:space="preserve">/ADIS </w:t>
      </w:r>
      <w:r>
        <w:rPr>
          <w:rFonts w:ascii="Times New Roman" w:cs="Times New Roman" w:hAnsi="Times New Roman"/>
          <w:sz w:val="20"/>
          <w:szCs w:val="20"/>
        </w:rPr>
        <w:t>(</w:t>
      </w:r>
      <w:r>
        <w:rPr>
          <w:rFonts w:ascii="Times New Roman" w:cs="Times New Roman" w:hAnsi="Times New Roman"/>
          <w:sz w:val="20"/>
          <w:szCs w:val="20"/>
        </w:rPr>
        <w:t xml:space="preserve">NAIDSRC. 2010), </w:t>
      </w:r>
      <w:r>
        <w:rPr>
          <w:rFonts w:ascii="Times New Roman" w:cs="Times New Roman" w:hAnsi="Times New Roman"/>
          <w:sz w:val="20"/>
          <w:szCs w:val="20"/>
        </w:rPr>
        <w:t>b</w:t>
      </w:r>
      <w:r>
        <w:rPr>
          <w:rFonts w:ascii="Times New Roman" w:cs="Times New Roman" w:hAnsi="Times New Roman"/>
          <w:sz w:val="20"/>
          <w:szCs w:val="20"/>
        </w:rPr>
        <w:t xml:space="preserve">ut it seems that little attention has been given to </w:t>
      </w:r>
      <w:r>
        <w:rPr>
          <w:rFonts w:ascii="Times New Roman" w:cs="Times New Roman" w:hAnsi="Times New Roman"/>
          <w:color w:val="auto"/>
          <w:sz w:val="20"/>
          <w:szCs w:val="20"/>
        </w:rPr>
        <w:t>study high risk factors that facilitate mortality of those people living with HIV/AIDS</w:t>
      </w:r>
      <w:r>
        <w:rPr>
          <w:rFonts w:ascii="Times New Roman" w:cs="Times New Roman" w:hAnsi="Times New Roman"/>
          <w:sz w:val="20"/>
          <w:szCs w:val="20"/>
        </w:rPr>
        <w:t>. Furthermore, modeling time to death</w:t>
      </w:r>
      <w:r>
        <w:rPr>
          <w:rFonts w:ascii="Times New Roman" w:cs="Times New Roman" w:hAnsi="Times New Roman"/>
          <w:sz w:val="20"/>
          <w:szCs w:val="20"/>
        </w:rPr>
        <w:t xml:space="preserve"> of HIV infected patients on ART is helpful to identify covariates that facilitate</w:t>
      </w:r>
      <w:r>
        <w:rPr>
          <w:rFonts w:ascii="Times New Roman" w:cs="Times New Roman" w:hAnsi="Times New Roman"/>
          <w:color w:val="auto"/>
          <w:sz w:val="20"/>
          <w:szCs w:val="20"/>
        </w:rPr>
        <w:t xml:space="preserve"> mortality of those people living with HIV/AIDS</w:t>
      </w:r>
      <w:r>
        <w:rPr>
          <w:rFonts w:ascii="Times New Roman" w:cs="Times New Roman" w:hAnsi="Times New Roman"/>
          <w:color w:val="auto"/>
          <w:sz w:val="20"/>
          <w:szCs w:val="20"/>
        </w:rPr>
        <w:t xml:space="preserve"> </w:t>
      </w:r>
      <w:r>
        <w:rPr>
          <w:rFonts w:ascii="Times New Roman" w:cs="Times New Roman" w:hAnsi="Times New Roman" w:eastAsiaTheme="minorHAnsi"/>
          <w:sz w:val="20"/>
          <w:szCs w:val="20"/>
        </w:rPr>
        <w:t xml:space="preserve">(Leigh </w:t>
      </w:r>
      <w:r>
        <w:rPr>
          <w:rFonts w:ascii="Times New Roman" w:cs="Times New Roman" w:hAnsi="Times New Roman" w:eastAsiaTheme="minorHAnsi"/>
          <w:i/>
          <w:iCs/>
          <w:sz w:val="20"/>
          <w:szCs w:val="20"/>
        </w:rPr>
        <w:t>et al.</w:t>
      </w:r>
      <w:r>
        <w:rPr>
          <w:rFonts w:ascii="Times New Roman" w:cs="Times New Roman" w:hAnsi="Times New Roman" w:eastAsiaTheme="minorHAnsi"/>
          <w:i/>
          <w:iCs/>
          <w:sz w:val="20"/>
          <w:szCs w:val="20"/>
        </w:rPr>
        <w:t>,</w:t>
      </w:r>
      <w:r>
        <w:rPr>
          <w:rFonts w:ascii="Times New Roman" w:cs="Times New Roman" w:hAnsi="Times New Roman" w:eastAsiaTheme="minorHAnsi"/>
          <w:sz w:val="20"/>
          <w:szCs w:val="20"/>
        </w:rPr>
        <w:t xml:space="preserve"> 2009</w:t>
      </w:r>
      <w:r>
        <w:rPr>
          <w:rFonts w:ascii="Times New Roman" w:cs="Times New Roman" w:hAnsi="Times New Roman" w:eastAsiaTheme="minorHAnsi"/>
          <w:sz w:val="20"/>
          <w:szCs w:val="20"/>
        </w:rPr>
        <w:t>)</w:t>
      </w:r>
      <w:r>
        <w:rPr>
          <w:rFonts w:ascii="Times New Roman" w:cs="Times New Roman" w:hAnsi="Times New Roman"/>
          <w:sz w:val="20"/>
          <w:szCs w:val="20"/>
        </w:rPr>
        <w:t xml:space="preserve">. </w:t>
      </w:r>
    </w:p>
    <w:p>
      <w:pPr>
        <w:pStyle w:val="style4097"/>
        <w:spacing w:after="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In addition, a study</w:t>
      </w:r>
      <w:r>
        <w:rPr>
          <w:rFonts w:ascii="Times New Roman" w:cs="Times New Roman" w:hAnsi="Times New Roman"/>
          <w:sz w:val="20"/>
          <w:szCs w:val="20"/>
        </w:rPr>
        <w:t xml:space="preserve"> conducted</w:t>
      </w:r>
      <w:r>
        <w:rPr>
          <w:rFonts w:ascii="Times New Roman" w:cs="Times New Roman" w:hAnsi="Times New Roman"/>
          <w:sz w:val="20"/>
          <w:szCs w:val="20"/>
        </w:rPr>
        <w:t xml:space="preserve"> </w:t>
      </w:r>
      <w:r>
        <w:rPr>
          <w:rFonts w:ascii="Times New Roman" w:cs="Times New Roman" w:hAnsi="Times New Roman"/>
          <w:sz w:val="20"/>
          <w:szCs w:val="20"/>
        </w:rPr>
        <w:t>previously</w:t>
      </w:r>
      <w:r>
        <w:rPr>
          <w:rFonts w:ascii="Times New Roman" w:cs="Times New Roman" w:hAnsi="Times New Roman"/>
          <w:sz w:val="20"/>
          <w:szCs w:val="20"/>
        </w:rPr>
        <w:t xml:space="preserve"> </w:t>
      </w:r>
      <w:r>
        <w:rPr>
          <w:rFonts w:ascii="Times New Roman" w:cs="Times New Roman" w:hAnsi="Times New Roman"/>
          <w:sz w:val="20"/>
          <w:szCs w:val="20"/>
        </w:rPr>
        <w:t xml:space="preserve">in </w:t>
      </w:r>
      <w:r>
        <w:rPr>
          <w:rFonts w:ascii="Times New Roman" w:cs="Times New Roman" w:hAnsi="Times New Roman"/>
          <w:sz w:val="20"/>
          <w:szCs w:val="20"/>
        </w:rPr>
        <w:t xml:space="preserve">HQEMMH </w:t>
      </w:r>
      <w:r>
        <w:rPr>
          <w:rFonts w:ascii="Times New Roman" w:cs="Times New Roman" w:hAnsi="Times New Roman"/>
          <w:sz w:val="20"/>
          <w:szCs w:val="20"/>
        </w:rPr>
        <w:t>used</w:t>
      </w:r>
      <w:r>
        <w:rPr>
          <w:rFonts w:ascii="Times New Roman" w:cs="Times New Roman" w:hAnsi="Times New Roman"/>
          <w:sz w:val="20"/>
          <w:szCs w:val="20"/>
        </w:rPr>
        <w:t xml:space="preserve"> </w:t>
      </w:r>
      <w:r>
        <w:rPr>
          <w:rFonts w:ascii="Times New Roman" w:cs="Times New Roman" w:hAnsi="Times New Roman"/>
          <w:sz w:val="20"/>
          <w:szCs w:val="20"/>
        </w:rPr>
        <w:t>the Multilevel</w:t>
      </w:r>
      <w:r>
        <w:rPr>
          <w:rFonts w:ascii="Times New Roman" w:cs="Times New Roman" w:hAnsi="Times New Roman"/>
          <w:sz w:val="20"/>
          <w:szCs w:val="20"/>
        </w:rPr>
        <w:t xml:space="preserve"> logistic regression model </w:t>
      </w:r>
      <w:r>
        <w:rPr>
          <w:rFonts w:ascii="Times New Roman" w:cs="Times New Roman" w:hAnsi="Times New Roman"/>
          <w:sz w:val="20"/>
          <w:szCs w:val="20"/>
        </w:rPr>
        <w:t>(</w:t>
      </w:r>
      <w:r>
        <w:rPr>
          <w:rFonts w:ascii="Times New Roman" w:cs="Times New Roman" w:hAnsi="Times New Roman"/>
          <w:sz w:val="20"/>
          <w:szCs w:val="20"/>
        </w:rPr>
        <w:t>Gemechu</w:t>
      </w:r>
      <w:r>
        <w:rPr>
          <w:rFonts w:ascii="Times New Roman" w:cs="Times New Roman" w:hAnsi="Times New Roman"/>
          <w:sz w:val="20"/>
          <w:szCs w:val="20"/>
        </w:rPr>
        <w:t>, 2013</w:t>
      </w:r>
      <w:r>
        <w:rPr>
          <w:rFonts w:ascii="Times New Roman" w:cs="Times New Roman" w:hAnsi="Times New Roman"/>
          <w:sz w:val="20"/>
          <w:szCs w:val="20"/>
        </w:rPr>
        <w:t>),</w:t>
      </w:r>
      <w:r>
        <w:rPr>
          <w:rFonts w:ascii="Times New Roman" w:cs="Times New Roman" w:hAnsi="Times New Roman"/>
          <w:sz w:val="20"/>
          <w:szCs w:val="20"/>
        </w:rPr>
        <w:t>b</w:t>
      </w:r>
      <w:r>
        <w:rPr>
          <w:rFonts w:ascii="Times New Roman" w:cs="Times New Roman" w:hAnsi="Times New Roman"/>
          <w:sz w:val="20"/>
          <w:szCs w:val="20"/>
        </w:rPr>
        <w:t xml:space="preserve">ut </w:t>
      </w:r>
      <w:r>
        <w:rPr>
          <w:rFonts w:ascii="Times New Roman" w:cs="Times New Roman" w:hAnsi="Times New Roman"/>
          <w:sz w:val="20"/>
          <w:szCs w:val="20"/>
        </w:rPr>
        <w:t>the</w:t>
      </w:r>
      <w:r>
        <w:rPr>
          <w:rFonts w:ascii="Times New Roman" w:cs="Times New Roman" w:hAnsi="Times New Roman"/>
          <w:sz w:val="20"/>
          <w:szCs w:val="20"/>
        </w:rPr>
        <w:t xml:space="preserve"> </w:t>
      </w:r>
      <w:r>
        <w:rPr>
          <w:rFonts w:ascii="Times New Roman" w:cs="Times New Roman" w:hAnsi="Times New Roman"/>
          <w:sz w:val="20"/>
          <w:szCs w:val="20"/>
        </w:rPr>
        <w:t>Multilevel logistic regression model is</w:t>
      </w:r>
      <w:r>
        <w:rPr>
          <w:rFonts w:ascii="Times New Roman" w:cs="Times New Roman" w:hAnsi="Times New Roman"/>
          <w:sz w:val="20"/>
          <w:szCs w:val="20"/>
        </w:rPr>
        <w:t xml:space="preserve"> not well suited to survival d</w:t>
      </w:r>
      <w:r>
        <w:rPr>
          <w:rFonts w:ascii="Times New Roman" w:cs="Times New Roman" w:hAnsi="Times New Roman"/>
          <w:sz w:val="20"/>
          <w:szCs w:val="20"/>
        </w:rPr>
        <w:t xml:space="preserve">ata for several reasons. </w:t>
      </w:r>
      <w:r>
        <w:rPr>
          <w:rFonts w:ascii="Times New Roman" w:cs="Times New Roman" w:hAnsi="Times New Roman"/>
          <w:sz w:val="20"/>
          <w:szCs w:val="20"/>
        </w:rPr>
        <w:t>A</w:t>
      </w:r>
      <w:r>
        <w:rPr>
          <w:rFonts w:ascii="Times New Roman" w:cs="Times New Roman" w:hAnsi="Times New Roman"/>
          <w:sz w:val="20"/>
          <w:szCs w:val="20"/>
        </w:rPr>
        <w:t>ccording to</w:t>
      </w:r>
      <w:r>
        <w:rPr>
          <w:rFonts w:ascii="Times New Roman" w:cs="Times New Roman" w:hAnsi="Times New Roman"/>
          <w:sz w:val="20"/>
          <w:szCs w:val="20"/>
        </w:rPr>
        <w:t>Collett work,</w:t>
      </w:r>
      <w:r>
        <w:rPr>
          <w:rFonts w:ascii="Times New Roman" w:cs="Times New Roman" w:hAnsi="Times New Roman"/>
          <w:sz w:val="20"/>
          <w:szCs w:val="20"/>
        </w:rPr>
        <w:t xml:space="preserve"> the</w:t>
      </w:r>
      <w:r>
        <w:rPr>
          <w:rFonts w:ascii="Times New Roman" w:cs="Times New Roman" w:hAnsi="Times New Roman"/>
          <w:sz w:val="20"/>
          <w:szCs w:val="20"/>
        </w:rPr>
        <w:t xml:space="preserve"> survival times are not normally distributed and the censored</w:t>
      </w:r>
      <w:r>
        <w:rPr>
          <w:rFonts w:ascii="Times New Roman" w:cs="Times New Roman" w:hAnsi="Times New Roman"/>
          <w:sz w:val="20"/>
          <w:szCs w:val="20"/>
        </w:rPr>
        <w:t xml:space="preserve"> data</w:t>
      </w:r>
      <w:r>
        <w:rPr>
          <w:rFonts w:ascii="Times New Roman" w:cs="Times New Roman" w:hAnsi="Times New Roman"/>
          <w:sz w:val="20"/>
          <w:szCs w:val="20"/>
        </w:rPr>
        <w:t xml:space="preserve"> are the result of missing values on</w:t>
      </w:r>
      <w:r>
        <w:rPr>
          <w:rFonts w:ascii="Times New Roman" w:cs="Times New Roman" w:hAnsi="Times New Roman"/>
          <w:sz w:val="20"/>
          <w:szCs w:val="20"/>
        </w:rPr>
        <w:t xml:space="preserve"> the de</w:t>
      </w:r>
      <w:r>
        <w:rPr>
          <w:rFonts w:ascii="Times New Roman" w:cs="Times New Roman" w:hAnsi="Times New Roman"/>
          <w:sz w:val="20"/>
          <w:szCs w:val="20"/>
        </w:rPr>
        <w:t>p</w:t>
      </w:r>
      <w:r>
        <w:rPr>
          <w:rFonts w:ascii="Times New Roman" w:cs="Times New Roman" w:hAnsi="Times New Roman"/>
          <w:sz w:val="20"/>
          <w:szCs w:val="20"/>
        </w:rPr>
        <w:t>endent variable</w:t>
      </w:r>
      <w:r>
        <w:rPr>
          <w:rFonts w:ascii="Times New Roman" w:cs="Times New Roman" w:hAnsi="Times New Roman"/>
          <w:sz w:val="20"/>
          <w:szCs w:val="20"/>
        </w:rPr>
        <w:t xml:space="preserve">, </w:t>
      </w:r>
      <w:r>
        <w:rPr>
          <w:rFonts w:ascii="Times New Roman" w:cs="Times New Roman" w:hAnsi="Times New Roman"/>
          <w:sz w:val="20"/>
          <w:szCs w:val="20"/>
        </w:rPr>
        <w:t>but in</w:t>
      </w:r>
      <w:r>
        <w:rPr>
          <w:rFonts w:ascii="Times New Roman" w:cs="Times New Roman" w:hAnsi="Times New Roman"/>
          <w:sz w:val="20"/>
          <w:szCs w:val="20"/>
        </w:rPr>
        <w:t xml:space="preserve"> </w:t>
      </w:r>
      <w:r>
        <w:rPr>
          <w:rFonts w:ascii="Times New Roman" w:cs="Times New Roman" w:hAnsi="Times New Roman"/>
          <w:sz w:val="20"/>
          <w:szCs w:val="20"/>
        </w:rPr>
        <w:t xml:space="preserve">this study the survival analysis method has been used </w:t>
      </w:r>
      <w:r>
        <w:rPr>
          <w:rFonts w:ascii="Times New Roman" w:cs="Times New Roman" w:hAnsi="Times New Roman"/>
          <w:sz w:val="20"/>
          <w:szCs w:val="20"/>
        </w:rPr>
        <w:t xml:space="preserve">to identify the risk </w:t>
      </w:r>
      <w:r>
        <w:rPr>
          <w:rFonts w:ascii="Times New Roman" w:cs="Times New Roman" w:hAnsi="Times New Roman"/>
          <w:sz w:val="20"/>
          <w:szCs w:val="20"/>
        </w:rPr>
        <w:t>factors</w:t>
      </w:r>
      <w:r>
        <w:rPr>
          <w:rFonts w:ascii="Times New Roman" w:cs="Times New Roman" w:hAnsi="Times New Roman"/>
          <w:sz w:val="20"/>
          <w:szCs w:val="20"/>
        </w:rPr>
        <w:t xml:space="preserve"> </w:t>
      </w:r>
      <w:r>
        <w:rPr>
          <w:rFonts w:ascii="Times New Roman" w:cs="Times New Roman" w:hAnsi="Times New Roman"/>
          <w:sz w:val="20"/>
          <w:szCs w:val="20"/>
        </w:rPr>
        <w:t xml:space="preserve">as well as to </w:t>
      </w:r>
      <w:r>
        <w:rPr>
          <w:rFonts w:ascii="Times New Roman" w:cs="Times New Roman" w:hAnsi="Times New Roman"/>
          <w:sz w:val="20"/>
          <w:szCs w:val="20"/>
        </w:rPr>
        <w:t>compare the efficiency of</w:t>
      </w:r>
      <w:r>
        <w:rPr>
          <w:rFonts w:ascii="Times New Roman" w:cs="Times New Roman" w:hAnsi="Times New Roman"/>
          <w:sz w:val="20"/>
          <w:szCs w:val="20"/>
        </w:rPr>
        <w:t xml:space="preserve"> Cox ph</w:t>
      </w:r>
      <w:r>
        <w:rPr>
          <w:rFonts w:ascii="Times New Roman" w:cs="Times New Roman" w:hAnsi="Times New Roman"/>
          <w:sz w:val="20"/>
          <w:szCs w:val="20"/>
        </w:rPr>
        <w:t>and</w:t>
      </w:r>
      <w:r>
        <w:rPr>
          <w:rFonts w:ascii="Times New Roman" w:cs="Times New Roman" w:hAnsi="Times New Roman"/>
          <w:sz w:val="20"/>
          <w:szCs w:val="20"/>
        </w:rPr>
        <w:t xml:space="preserve"> parametric</w:t>
      </w:r>
      <w:r>
        <w:rPr>
          <w:rFonts w:ascii="Times New Roman" w:cs="Times New Roman" w:hAnsi="Times New Roman"/>
          <w:sz w:val="20"/>
          <w:szCs w:val="20"/>
        </w:rPr>
        <w:t xml:space="preserve"> survival regression model</w:t>
      </w:r>
      <w:r>
        <w:rPr>
          <w:rFonts w:ascii="Times New Roman" w:cs="Times New Roman" w:hAnsi="Times New Roman"/>
          <w:sz w:val="20"/>
          <w:szCs w:val="20"/>
        </w:rPr>
        <w:t>s</w:t>
      </w:r>
      <w:r>
        <w:rPr>
          <w:rFonts w:ascii="Times New Roman" w:cs="Times New Roman" w:hAnsi="Times New Roman"/>
          <w:sz w:val="20"/>
          <w:szCs w:val="20"/>
        </w:rPr>
        <w:t xml:space="preserve"> (Collett, 2003)</w:t>
      </w:r>
      <w:r>
        <w:rPr>
          <w:rFonts w:ascii="Times New Roman" w:cs="Times New Roman" w:hAnsi="Times New Roman"/>
          <w:sz w:val="20"/>
          <w:szCs w:val="20"/>
        </w:rPr>
        <w:t>.</w:t>
      </w:r>
      <w:r>
        <w:rPr>
          <w:rFonts w:ascii="Times New Roman" w:cs="Times New Roman" w:hAnsi="Times New Roman"/>
          <w:sz w:val="20"/>
          <w:szCs w:val="20"/>
        </w:rPr>
        <w:t>Many</w:t>
      </w:r>
      <w:r>
        <w:rPr>
          <w:rFonts w:ascii="Times New Roman" w:cs="Times New Roman" w:hAnsi="Times New Roman"/>
          <w:sz w:val="20"/>
          <w:szCs w:val="20"/>
        </w:rPr>
        <w:t xml:space="preserve"> covariates will </w:t>
      </w:r>
      <w:r>
        <w:rPr>
          <w:rFonts w:ascii="Times New Roman" w:cs="Times New Roman" w:hAnsi="Times New Roman"/>
          <w:sz w:val="20"/>
          <w:szCs w:val="20"/>
        </w:rPr>
        <w:t>collect to</w:t>
      </w:r>
      <w:r>
        <w:rPr>
          <w:rFonts w:ascii="Times New Roman" w:cs="Times New Roman" w:hAnsi="Times New Roman"/>
          <w:sz w:val="20"/>
          <w:szCs w:val="20"/>
        </w:rPr>
        <w:t xml:space="preserve"> reduce possible modelin</w:t>
      </w:r>
      <w:r>
        <w:rPr>
          <w:rFonts w:ascii="Times New Roman" w:cs="Times New Roman" w:hAnsi="Times New Roman"/>
          <w:sz w:val="20"/>
          <w:szCs w:val="20"/>
        </w:rPr>
        <w:t>g bias</w:t>
      </w:r>
      <w:r>
        <w:rPr>
          <w:rFonts w:ascii="Times New Roman" w:cs="Times New Roman" w:hAnsi="Times New Roman"/>
          <w:sz w:val="20"/>
          <w:szCs w:val="20"/>
        </w:rPr>
        <w:t>,</w:t>
      </w:r>
      <w:r>
        <w:rPr>
          <w:rFonts w:ascii="Times New Roman" w:cs="Times New Roman" w:hAnsi="Times New Roman"/>
          <w:sz w:val="20"/>
          <w:szCs w:val="20"/>
        </w:rPr>
        <w:t xml:space="preserve"> when</w:t>
      </w:r>
      <w:r>
        <w:rPr>
          <w:rFonts w:ascii="Times New Roman" w:cs="Times New Roman" w:hAnsi="Times New Roman"/>
          <w:sz w:val="20"/>
          <w:szCs w:val="20"/>
        </w:rPr>
        <w:t xml:space="preserve"> a large semi parametric/parametric model</w:t>
      </w:r>
      <w:r>
        <w:rPr>
          <w:rFonts w:ascii="Times New Roman" w:cs="Times New Roman" w:hAnsi="Times New Roman"/>
          <w:sz w:val="20"/>
          <w:szCs w:val="20"/>
        </w:rPr>
        <w:t xml:space="preserve"> is built. An important and the first challenging task are to efficiently select a subset of significant variables upon which the hazard function depends</w:t>
      </w:r>
      <w:r>
        <w:rPr>
          <w:rFonts w:ascii="Times New Roman" w:cs="Times New Roman" w:hAnsi="Times New Roman"/>
          <w:sz w:val="20"/>
          <w:szCs w:val="20"/>
        </w:rPr>
        <w:t>(Hosme</w:t>
      </w:r>
      <w:r>
        <w:rPr>
          <w:rFonts w:ascii="Times New Roman" w:cs="Times New Roman" w:hAnsi="Times New Roman"/>
          <w:sz w:val="20"/>
          <w:szCs w:val="20"/>
        </w:rPr>
        <w:t>r</w:t>
      </w:r>
      <w:r>
        <w:rPr>
          <w:rFonts w:ascii="Times New Roman" w:cs="Times New Roman" w:hAnsi="Times New Roman"/>
          <w:sz w:val="20"/>
          <w:szCs w:val="20"/>
        </w:rPr>
        <w:t xml:space="preserve"> and</w:t>
      </w:r>
      <w:r>
        <w:rPr>
          <w:rFonts w:ascii="Times New Roman" w:cs="Times New Roman" w:hAnsi="Times New Roman"/>
          <w:sz w:val="20"/>
          <w:szCs w:val="20"/>
        </w:rPr>
        <w:t xml:space="preserve"> </w:t>
      </w:r>
      <w:r>
        <w:rPr>
          <w:rFonts w:ascii="Times New Roman" w:cs="Times New Roman" w:hAnsi="Times New Roman"/>
          <w:sz w:val="20"/>
          <w:szCs w:val="20"/>
        </w:rPr>
        <w:t>Lemeshow</w:t>
      </w:r>
      <w:r>
        <w:rPr>
          <w:rFonts w:ascii="Times New Roman" w:cs="Times New Roman" w:hAnsi="Times New Roman"/>
          <w:sz w:val="20"/>
          <w:szCs w:val="20"/>
        </w:rPr>
        <w:t>, 1999</w:t>
      </w:r>
      <w:r>
        <w:rPr>
          <w:rFonts w:ascii="Times New Roman" w:cs="Times New Roman" w:hAnsi="Times New Roman"/>
          <w:sz w:val="20"/>
          <w:szCs w:val="20"/>
        </w:rPr>
        <w:t>).</w:t>
      </w:r>
      <w:r>
        <w:rPr>
          <w:rFonts w:ascii="Times New Roman" w:cs="Times New Roman" w:hAnsi="Times New Roman"/>
          <w:sz w:val="20"/>
          <w:szCs w:val="20"/>
        </w:rPr>
        <w:t xml:space="preserve"> In general, the motivation behind this study is intended to address the following </w:t>
      </w:r>
      <w:r>
        <w:rPr>
          <w:rFonts w:ascii="Times New Roman" w:cs="Times New Roman" w:eastAsia="CenturySchoolbook" w:hAnsi="Times New Roman"/>
          <w:sz w:val="20"/>
          <w:szCs w:val="20"/>
        </w:rPr>
        <w:t>two major research questions</w:t>
      </w:r>
      <w:r>
        <w:rPr>
          <w:rFonts w:ascii="Times New Roman" w:cs="Times New Roman" w:hAnsi="Times New Roman"/>
          <w:sz w:val="20"/>
          <w:szCs w:val="20"/>
        </w:rPr>
        <w:t xml:space="preserve">: </w:t>
      </w:r>
    </w:p>
    <w:p>
      <w:pPr>
        <w:pStyle w:val="style4097"/>
        <w:numPr>
          <w:ilvl w:val="0"/>
          <w:numId w:val="3"/>
        </w:numPr>
        <w:ind w:firstLine="270" w:left="-270"/>
        <w:jc w:val="both"/>
        <w:rPr>
          <w:rFonts w:ascii="Times New Roman" w:cs="Times New Roman" w:hAnsi="Times New Roman"/>
          <w:sz w:val="20"/>
          <w:szCs w:val="20"/>
        </w:rPr>
      </w:pPr>
      <w:r>
        <w:rPr>
          <w:rFonts w:ascii="Times New Roman" w:cs="Times New Roman" w:hAnsi="Times New Roman"/>
          <w:sz w:val="20"/>
          <w:szCs w:val="20"/>
        </w:rPr>
        <w:t xml:space="preserve">Which factors significantly affect survival time of HIV infected patients over ART? </w:t>
      </w:r>
    </w:p>
    <w:p>
      <w:pPr>
        <w:pStyle w:val="style4097"/>
        <w:numPr>
          <w:ilvl w:val="0"/>
          <w:numId w:val="3"/>
        </w:numPr>
        <w:ind w:firstLine="270" w:left="-270"/>
        <w:jc w:val="both"/>
        <w:rPr>
          <w:sz w:val="20"/>
          <w:szCs w:val="20"/>
        </w:rPr>
      </w:pPr>
      <w:r>
        <w:rPr>
          <w:rFonts w:ascii="Times New Roman" w:cs="Times New Roman" w:hAnsi="Times New Roman"/>
          <w:sz w:val="20"/>
          <w:szCs w:val="20"/>
        </w:rPr>
        <w:t>Which type of survival model</w:t>
      </w:r>
      <w:r>
        <w:rPr>
          <w:rFonts w:ascii="Times New Roman" w:cs="Times New Roman" w:hAnsi="Times New Roman"/>
          <w:sz w:val="20"/>
          <w:szCs w:val="20"/>
        </w:rPr>
        <w:t>, Cox ph</w:t>
      </w:r>
      <w:r>
        <w:rPr>
          <w:rFonts w:ascii="Times New Roman" w:cs="Times New Roman" w:hAnsi="Times New Roman"/>
          <w:sz w:val="20"/>
          <w:szCs w:val="20"/>
        </w:rPr>
        <w:t xml:space="preserve"> or parametric regression model</w:t>
      </w:r>
      <w:r>
        <w:rPr>
          <w:rFonts w:ascii="Times New Roman" w:cs="Times New Roman" w:hAnsi="Times New Roman"/>
          <w:sz w:val="20"/>
          <w:szCs w:val="20"/>
        </w:rPr>
        <w:t xml:space="preserve">, predicts well the covariate that are associated with high risk of mortality? </w:t>
      </w:r>
    </w:p>
    <w:bookmarkStart w:id="57" w:name="_Toc443622489"/>
    <w:bookmarkStart w:id="58" w:name="_Toc443623671"/>
    <w:bookmarkStart w:id="59" w:name="_Toc443624180"/>
    <w:bookmarkStart w:id="60" w:name="_Toc443626152"/>
    <w:bookmarkStart w:id="61" w:name="_Toc450285290"/>
    <w:bookmarkStart w:id="62" w:name="_Toc450288299"/>
    <w:bookmarkStart w:id="63" w:name="_Toc450292748"/>
    <w:bookmarkStart w:id="64" w:name="_Toc450294475"/>
    <w:bookmarkStart w:id="65" w:name="_Toc450294858"/>
    <w:bookmarkStart w:id="66" w:name="_Toc450724128"/>
    <w:bookmarkStart w:id="67" w:name="_Toc450724373"/>
    <w:bookmarkStart w:id="68" w:name="_Toc451494686"/>
    <w:bookmarkStart w:id="69" w:name="_Toc451496280"/>
    <w:bookmarkStart w:id="70" w:name="_Toc451496783"/>
    <w:bookmarkStart w:id="71" w:name="_Toc451522813"/>
    <w:bookmarkStart w:id="72" w:name="_Toc451742068"/>
    <w:bookmarkStart w:id="73" w:name="_Toc451742809"/>
    <w:bookmarkStart w:id="74" w:name="_Toc452191071"/>
    <w:bookmarkStart w:id="75" w:name="_Toc452191620"/>
    <w:bookmarkStart w:id="76" w:name="_Toc452195041"/>
    <w:p>
      <w:pPr>
        <w:pStyle w:val="style4097"/>
        <w:spacing w:before="240"/>
        <w:ind w:firstLine="270" w:left="-270" w:right="144"/>
        <w:outlineLvl w:val="1"/>
        <w:rPr>
          <w:rFonts w:ascii="Times New Roman" w:cs="Times New Roman" w:hAnsi="Times New Roman"/>
          <w:b/>
          <w:sz w:val="20"/>
          <w:szCs w:val="20"/>
        </w:rPr>
      </w:pPr>
      <w:r>
        <w:rPr>
          <w:rFonts w:ascii="Times New Roman" w:cs="Times New Roman" w:hAnsi="Times New Roman"/>
          <w:b/>
          <w:sz w:val="20"/>
          <w:szCs w:val="20"/>
        </w:rPr>
        <w:t>1.</w:t>
      </w:r>
      <w:r>
        <w:rPr>
          <w:rFonts w:ascii="Times New Roman" w:cs="Times New Roman" w:hAnsi="Times New Roman"/>
          <w:b/>
          <w:sz w:val="20"/>
          <w:szCs w:val="20"/>
        </w:rPr>
        <w:t>3</w:t>
      </w:r>
      <w:r>
        <w:rPr>
          <w:rFonts w:ascii="Times New Roman" w:cs="Times New Roman" w:hAnsi="Times New Roman"/>
          <w:b/>
          <w:sz w:val="20"/>
          <w:szCs w:val="20"/>
        </w:rPr>
        <w:t>.</w:t>
      </w:r>
      <w:r>
        <w:rPr>
          <w:rFonts w:ascii="Times New Roman" w:cs="Times New Roman" w:hAnsi="Times New Roman"/>
          <w:b/>
          <w:sz w:val="20"/>
          <w:szCs w:val="20"/>
        </w:rPr>
        <w:t xml:space="preserve"> Objectives of the study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bookmarkStart w:id="77" w:name="_Toc450525884"/>
    <w:bookmarkStart w:id="78" w:name="_Toc450724130"/>
    <w:bookmarkStart w:id="79" w:name="_Toc450724375"/>
    <w:p>
      <w:pPr>
        <w:pStyle w:val="style4097"/>
        <w:spacing w:after="240"/>
        <w:ind w:firstLine="270" w:left="-270"/>
        <w:rPr>
          <w:rFonts w:ascii="Times New Roman" w:cs="Times New Roman" w:hAnsi="Times New Roman"/>
          <w:b/>
          <w:sz w:val="20"/>
          <w:szCs w:val="20"/>
        </w:rPr>
      </w:pPr>
      <w:r>
        <w:rPr>
          <w:rFonts w:ascii="Times New Roman" w:cs="Times New Roman" w:hAnsi="Times New Roman"/>
          <w:sz w:val="20"/>
          <w:szCs w:val="20"/>
        </w:rPr>
        <w:t xml:space="preserve">The main objective of this </w:t>
      </w:r>
      <w:r>
        <w:rPr>
          <w:rFonts w:ascii="Times New Roman" w:cs="Times New Roman" w:hAnsi="Times New Roman"/>
          <w:sz w:val="20"/>
          <w:szCs w:val="20"/>
        </w:rPr>
        <w:t>study is modeling</w:t>
      </w:r>
      <w:r>
        <w:rPr>
          <w:rFonts w:ascii="Times New Roman" w:cs="Times New Roman" w:hAnsi="Times New Roman"/>
          <w:sz w:val="20"/>
          <w:szCs w:val="20"/>
        </w:rPr>
        <w:t xml:space="preserve"> the factors that affect survival time of HIV </w:t>
      </w:r>
      <w:r>
        <w:rPr>
          <w:rFonts w:ascii="Times New Roman" w:cs="Times New Roman" w:hAnsi="Times New Roman"/>
          <w:sz w:val="20"/>
          <w:szCs w:val="20"/>
        </w:rPr>
        <w:t xml:space="preserve">infected </w:t>
      </w:r>
      <w:r>
        <w:rPr>
          <w:rFonts w:ascii="Times New Roman" w:cs="Times New Roman" w:hAnsi="Times New Roman"/>
          <w:sz w:val="20"/>
          <w:szCs w:val="20"/>
        </w:rPr>
        <w:t xml:space="preserve">patients by using Cox ph and parametric survival regression </w:t>
      </w:r>
      <w:r>
        <w:rPr>
          <w:rFonts w:ascii="Times New Roman" w:cs="Times New Roman" w:hAnsi="Times New Roman"/>
          <w:sz w:val="20"/>
          <w:szCs w:val="20"/>
        </w:rPr>
        <w:t>model</w:t>
      </w:r>
      <w:r>
        <w:rPr>
          <w:rFonts w:ascii="Times New Roman" w:cs="Times New Roman" w:hAnsi="Times New Roman"/>
          <w:sz w:val="20"/>
          <w:szCs w:val="20"/>
        </w:rPr>
        <w:t>s</w:t>
      </w:r>
      <w:r>
        <w:rPr>
          <w:rFonts w:ascii="Times New Roman" w:cs="Times New Roman" w:hAnsi="Times New Roman"/>
          <w:sz w:val="20"/>
          <w:szCs w:val="20"/>
        </w:rPr>
        <w:t xml:space="preserve"> </w:t>
      </w:r>
      <w:r>
        <w:rPr>
          <w:rFonts w:ascii="Times New Roman" w:cs="Times New Roman" w:hAnsi="Times New Roman"/>
          <w:sz w:val="20"/>
          <w:szCs w:val="20"/>
        </w:rPr>
        <w:t>based in</w:t>
      </w:r>
      <w:r>
        <w:rPr>
          <w:rFonts w:ascii="Times New Roman" w:cs="Times New Roman" w:hAnsi="Times New Roman"/>
          <w:sz w:val="20"/>
          <w:szCs w:val="20"/>
        </w:rPr>
        <w:t xml:space="preserve"> </w:t>
      </w:r>
      <w:r>
        <w:rPr>
          <w:rFonts w:ascii="Times New Roman" w:cs="Times New Roman" w:hAnsi="Times New Roman"/>
          <w:sz w:val="20"/>
          <w:szCs w:val="20"/>
        </w:rPr>
        <w:t>HQEMMH</w:t>
      </w:r>
      <w:r>
        <w:rPr>
          <w:rFonts w:ascii="Times New Roman" w:cs="Times New Roman" w:hAnsi="Times New Roman"/>
          <w:sz w:val="20"/>
          <w:szCs w:val="20"/>
        </w:rPr>
        <w:t>.</w:t>
      </w:r>
      <w:bookmarkEnd w:id="77"/>
      <w:bookmarkEnd w:id="78"/>
      <w:bookmarkEnd w:id="79"/>
    </w:p>
    <w:bookmarkStart w:id="80" w:name="_Toc450285301"/>
    <w:bookmarkStart w:id="81" w:name="_Toc450288310"/>
    <w:bookmarkStart w:id="82" w:name="_Toc450292759"/>
    <w:bookmarkStart w:id="83" w:name="_Toc450294486"/>
    <w:bookmarkStart w:id="84" w:name="_Toc450294869"/>
    <w:bookmarkStart w:id="85" w:name="_Toc450724139"/>
    <w:bookmarkStart w:id="86" w:name="_Toc450724384"/>
    <w:bookmarkStart w:id="87" w:name="_Toc451494695"/>
    <w:bookmarkStart w:id="88" w:name="_Toc451496289"/>
    <w:bookmarkStart w:id="89" w:name="_Toc451496792"/>
    <w:bookmarkStart w:id="90" w:name="_Toc451522823"/>
    <w:bookmarkStart w:id="91" w:name="_Toc451742078"/>
    <w:bookmarkStart w:id="92" w:name="_Toc451742819"/>
    <w:bookmarkStart w:id="93" w:name="_Toc452191081"/>
    <w:bookmarkStart w:id="94" w:name="_Toc452191630"/>
    <w:bookmarkStart w:id="95" w:name="_Toc452195051"/>
    <w:p>
      <w:pPr>
        <w:pStyle w:val="style179"/>
        <w:numPr>
          <w:ilvl w:val="0"/>
          <w:numId w:val="32"/>
        </w:numPr>
        <w:spacing w:lineRule="auto" w:line="240"/>
        <w:rPr>
          <w:rFonts w:ascii="Times New Roman" w:cs="Times New Roman" w:hAnsi="Times New Roman"/>
          <w:b/>
          <w:bCs/>
          <w:sz w:val="20"/>
          <w:szCs w:val="20"/>
        </w:rPr>
      </w:pPr>
      <w:r>
        <w:rPr>
          <w:rFonts w:ascii="Times New Roman" w:cs="Times New Roman" w:hAnsi="Times New Roman"/>
          <w:b/>
          <w:bCs/>
          <w:sz w:val="20"/>
          <w:szCs w:val="20"/>
        </w:rPr>
        <w:t>Data Source and Methology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style179"/>
        <w:spacing w:after="0" w:lineRule="auto" w:line="240"/>
        <w:rPr>
          <w:b/>
          <w:sz w:val="20"/>
          <w:szCs w:val="20"/>
          <w:lang w:val="en-GB"/>
        </w:rPr>
      </w:pPr>
      <w:r>
        <w:rPr>
          <w:rFonts w:ascii="Times New Roman" w:cs="Times New Roman" w:hAnsi="Times New Roman"/>
          <w:bCs/>
          <w:sz w:val="20"/>
          <w:szCs w:val="20"/>
        </w:rPr>
        <w:t xml:space="preserve"> </w:t>
      </w:r>
      <w:r>
        <w:rPr>
          <w:rFonts w:ascii="Times New Roman" w:cs="Times New Roman" w:hAnsi="Times New Roman"/>
          <w:bCs/>
          <w:sz w:val="20"/>
          <w:szCs w:val="20"/>
        </w:rPr>
        <w:t>2.1.</w:t>
      </w:r>
      <w:r>
        <w:rPr>
          <w:rFonts w:ascii="Times New Roman" w:cs="Times New Roman" w:hAnsi="Times New Roman"/>
          <w:bCs/>
          <w:sz w:val="20"/>
          <w:szCs w:val="20"/>
        </w:rPr>
        <w:t xml:space="preserve"> </w:t>
      </w:r>
      <w:r>
        <w:rPr>
          <w:rFonts w:ascii="Times New Roman" w:cs="Times New Roman" w:hAnsi="Times New Roman"/>
          <w:b/>
          <w:bCs/>
          <w:sz w:val="20"/>
          <w:szCs w:val="20"/>
        </w:rPr>
        <w:t>Data Source</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This study is a retrospective cohort study</w:t>
      </w:r>
      <w:r>
        <w:rPr>
          <w:rFonts w:ascii="Times New Roman" w:cs="Times New Roman" w:hAnsi="Times New Roman"/>
          <w:sz w:val="20"/>
          <w:szCs w:val="20"/>
        </w:rPr>
        <w:t xml:space="preserve"> </w:t>
      </w:r>
      <w:r>
        <w:rPr>
          <w:rFonts w:ascii="Times New Roman" w:cs="Times New Roman" w:hAnsi="Times New Roman"/>
          <w:sz w:val="20"/>
          <w:szCs w:val="20"/>
        </w:rPr>
        <w:t>based on data from the ART clinic</w:t>
      </w:r>
      <w:r>
        <w:rPr>
          <w:rFonts w:ascii="Times New Roman" w:cs="Times New Roman" w:eastAsia="TimesNewRomanPSMT" w:hAnsi="Times New Roman"/>
          <w:sz w:val="20"/>
          <w:szCs w:val="20"/>
        </w:rPr>
        <w:t xml:space="preserve">al </w:t>
      </w:r>
      <w:r>
        <w:rPr>
          <w:rFonts w:ascii="Times New Roman" w:cs="Times New Roman" w:eastAsia="TimesNewRomanPSMT" w:hAnsi="Times New Roman"/>
          <w:sz w:val="20"/>
          <w:szCs w:val="20"/>
        </w:rPr>
        <w:t xml:space="preserve">in </w:t>
      </w:r>
      <w:r>
        <w:rPr>
          <w:rFonts w:ascii="Times New Roman" w:cs="Times New Roman" w:hAnsi="Times New Roman"/>
          <w:sz w:val="20"/>
          <w:szCs w:val="20"/>
        </w:rPr>
        <w:t>Hossana Queen Elleni</w:t>
      </w:r>
      <w:r>
        <w:rPr>
          <w:rFonts w:ascii="Times New Roman" w:cs="Times New Roman" w:hAnsi="Times New Roman"/>
          <w:sz w:val="20"/>
          <w:szCs w:val="20"/>
        </w:rPr>
        <w:t xml:space="preserve"> </w:t>
      </w:r>
      <w:r>
        <w:rPr>
          <w:rFonts w:ascii="Times New Roman" w:cs="Times New Roman" w:hAnsi="Times New Roman"/>
          <w:sz w:val="20"/>
          <w:szCs w:val="20"/>
        </w:rPr>
        <w:t xml:space="preserve">Mohamad Memorial </w:t>
      </w:r>
      <w:r>
        <w:rPr>
          <w:rFonts w:ascii="Times New Roman" w:cs="Times New Roman" w:hAnsi="Times New Roman"/>
          <w:sz w:val="20"/>
          <w:szCs w:val="20"/>
        </w:rPr>
        <w:t>Hospital (</w:t>
      </w:r>
      <w:r>
        <w:rPr>
          <w:rFonts w:ascii="Times New Roman" w:cs="Times New Roman" w:hAnsi="Times New Roman"/>
          <w:sz w:val="20"/>
          <w:szCs w:val="20"/>
        </w:rPr>
        <w:t>HQEMMH)</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Hadiya Zone, SNNP Region of Ethiopia</w:t>
      </w:r>
      <w:r>
        <w:rPr>
          <w:rFonts w:ascii="Times New Roman" w:cs="Times New Roman" w:hAnsi="Times New Roman"/>
          <w:sz w:val="20"/>
          <w:szCs w:val="20"/>
        </w:rPr>
        <w:t xml:space="preserve">. The survival data </w:t>
      </w:r>
      <w:r>
        <w:rPr>
          <w:rFonts w:ascii="Times New Roman" w:cs="Times New Roman" w:hAnsi="Times New Roman"/>
          <w:sz w:val="20"/>
          <w:szCs w:val="20"/>
        </w:rPr>
        <w:t xml:space="preserve">were </w:t>
      </w:r>
      <w:r>
        <w:rPr>
          <w:rFonts w:ascii="Times New Roman" w:cs="Times New Roman" w:hAnsi="Times New Roman"/>
          <w:sz w:val="20"/>
          <w:szCs w:val="20"/>
        </w:rPr>
        <w:t>extract</w:t>
      </w:r>
      <w:r>
        <w:rPr>
          <w:rFonts w:ascii="Times New Roman" w:cs="Times New Roman" w:hAnsi="Times New Roman"/>
          <w:sz w:val="20"/>
          <w:szCs w:val="20"/>
        </w:rPr>
        <w:t>ed</w:t>
      </w:r>
      <w:r>
        <w:rPr>
          <w:rFonts w:ascii="Times New Roman" w:cs="Times New Roman" w:hAnsi="Times New Roman"/>
          <w:sz w:val="20"/>
          <w:szCs w:val="20"/>
        </w:rPr>
        <w:t xml:space="preserve"> from the patient’s chart which contains epidemiological, laboratory and clinical information of HIV patients under ART follow-up including a detailed antiretroviral therapy history.</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The study was</w:t>
      </w:r>
      <w:r>
        <w:rPr>
          <w:rFonts w:ascii="Times New Roman" w:cs="Times New Roman" w:hAnsi="Times New Roman"/>
          <w:sz w:val="20"/>
          <w:szCs w:val="20"/>
        </w:rPr>
        <w:t xml:space="preserve"> conduct</w:t>
      </w:r>
      <w:r>
        <w:rPr>
          <w:rFonts w:ascii="Times New Roman" w:cs="Times New Roman" w:hAnsi="Times New Roman"/>
          <w:sz w:val="20"/>
          <w:szCs w:val="20"/>
        </w:rPr>
        <w:t>ed</w:t>
      </w:r>
      <w:r>
        <w:rPr>
          <w:rFonts w:ascii="Times New Roman" w:cs="Times New Roman" w:hAnsi="Times New Roman"/>
          <w:sz w:val="20"/>
          <w:szCs w:val="20"/>
        </w:rPr>
        <w:t xml:space="preserve"> in Hossana</w:t>
      </w:r>
      <w:r>
        <w:rPr>
          <w:rFonts w:ascii="Times New Roman" w:cs="Times New Roman" w:hAnsi="Times New Roman"/>
          <w:sz w:val="20"/>
          <w:szCs w:val="20"/>
        </w:rPr>
        <w:t xml:space="preserve"> </w:t>
      </w:r>
      <w:r>
        <w:rPr>
          <w:rFonts w:ascii="Times New Roman" w:cs="Times New Roman" w:hAnsi="Times New Roman"/>
          <w:bCs/>
          <w:sz w:val="20"/>
          <w:szCs w:val="20"/>
        </w:rPr>
        <w:t>Queen Elleni</w:t>
      </w:r>
      <w:r>
        <w:rPr>
          <w:rFonts w:ascii="Times New Roman" w:cs="Times New Roman" w:hAnsi="Times New Roman"/>
          <w:bCs/>
          <w:sz w:val="20"/>
          <w:szCs w:val="20"/>
        </w:rPr>
        <w:t xml:space="preserve"> </w:t>
      </w:r>
      <w:r>
        <w:rPr>
          <w:rFonts w:ascii="Times New Roman" w:cs="Times New Roman" w:hAnsi="Times New Roman"/>
          <w:bCs/>
          <w:sz w:val="20"/>
          <w:szCs w:val="20"/>
        </w:rPr>
        <w:t>Mohamad Memorial Hospital, SNNPR,</w:t>
      </w:r>
      <w:r>
        <w:rPr>
          <w:rFonts w:ascii="Times New Roman" w:cs="Times New Roman" w:hAnsi="Times New Roman"/>
          <w:bCs/>
          <w:i/>
          <w:sz w:val="20"/>
          <w:szCs w:val="20"/>
        </w:rPr>
        <w:t xml:space="preserve"> and </w:t>
      </w:r>
      <w:r>
        <w:rPr>
          <w:rFonts w:ascii="Times New Roman" w:cs="Times New Roman" w:hAnsi="Times New Roman"/>
          <w:bCs/>
          <w:sz w:val="20"/>
          <w:szCs w:val="20"/>
        </w:rPr>
        <w:t>Ethiopia</w:t>
      </w:r>
      <w:r>
        <w:rPr>
          <w:rFonts w:ascii="Times New Roman" w:cs="Times New Roman" w:hAnsi="Times New Roman"/>
          <w:bCs/>
          <w:sz w:val="20"/>
          <w:szCs w:val="20"/>
        </w:rPr>
        <w:t>,</w:t>
      </w:r>
      <w:r>
        <w:rPr>
          <w:rFonts w:ascii="Times New Roman" w:cs="Times New Roman" w:hAnsi="Times New Roman"/>
          <w:sz w:val="20"/>
          <w:szCs w:val="20"/>
        </w:rPr>
        <w:t xml:space="preserve"> from</w:t>
      </w:r>
      <w:r>
        <w:rPr>
          <w:rFonts w:ascii="Times New Roman" w:cs="Times New Roman" w:hAnsi="Times New Roman"/>
          <w:sz w:val="20"/>
          <w:szCs w:val="20"/>
        </w:rPr>
        <w:t>1</w:t>
      </w:r>
      <w:r>
        <w:rPr>
          <w:rFonts w:ascii="Times New Roman" w:cs="Times New Roman" w:hAnsi="Times New Roman"/>
          <w:sz w:val="20"/>
          <w:szCs w:val="20"/>
          <w:vertAlign w:val="superscript"/>
        </w:rPr>
        <w:t>st</w:t>
      </w:r>
      <w:r>
        <w:rPr>
          <w:rFonts w:ascii="Times New Roman" w:cs="Times New Roman" w:hAnsi="Times New Roman"/>
          <w:sz w:val="20"/>
          <w:szCs w:val="20"/>
        </w:rPr>
        <w:t>February 201</w:t>
      </w:r>
      <w:r>
        <w:rPr>
          <w:rFonts w:ascii="Times New Roman" w:cs="Times New Roman" w:hAnsi="Times New Roman"/>
          <w:sz w:val="20"/>
          <w:szCs w:val="20"/>
        </w:rPr>
        <w:t>1</w:t>
      </w:r>
      <w:r>
        <w:rPr>
          <w:rFonts w:ascii="Times New Roman" w:cs="Times New Roman" w:hAnsi="Times New Roman"/>
          <w:sz w:val="20"/>
          <w:szCs w:val="20"/>
        </w:rPr>
        <w:t xml:space="preserve"> to </w:t>
      </w:r>
      <w:r>
        <w:rPr>
          <w:rFonts w:ascii="Times New Roman" w:cs="Times New Roman" w:hAnsi="Times New Roman"/>
          <w:sz w:val="20"/>
          <w:szCs w:val="20"/>
        </w:rPr>
        <w:t>1</w:t>
      </w:r>
      <w:r>
        <w:rPr>
          <w:rFonts w:ascii="Times New Roman" w:cs="Times New Roman" w:hAnsi="Times New Roman"/>
          <w:sz w:val="20"/>
          <w:szCs w:val="20"/>
          <w:vertAlign w:val="superscript"/>
        </w:rPr>
        <w:t>st</w:t>
      </w:r>
      <w:r>
        <w:rPr>
          <w:rFonts w:ascii="Times New Roman" w:cs="Times New Roman" w:hAnsi="Times New Roman"/>
          <w:sz w:val="20"/>
          <w:szCs w:val="20"/>
        </w:rPr>
        <w:t>January 2016</w:t>
      </w:r>
      <w:r>
        <w:rPr>
          <w:rFonts w:ascii="Times New Roman" w:cs="Times New Roman" w:hAnsi="Times New Roman"/>
          <w:sz w:val="20"/>
          <w:szCs w:val="20"/>
        </w:rPr>
        <w:t xml:space="preserve">. </w:t>
      </w:r>
      <w:r>
        <w:rPr>
          <w:rFonts w:ascii="Times New Roman" w:cs="Times New Roman" w:hAnsi="Times New Roman"/>
          <w:sz w:val="20"/>
          <w:szCs w:val="20"/>
        </w:rPr>
        <w:t>Hadiya z</w:t>
      </w:r>
      <w:r>
        <w:rPr>
          <w:rFonts w:ascii="Times New Roman" w:cs="Times New Roman" w:hAnsi="Times New Roman"/>
          <w:sz w:val="20"/>
          <w:szCs w:val="20"/>
        </w:rPr>
        <w:t>one is one of 13 zones in SNNPR.</w:t>
      </w:r>
      <w:r>
        <w:rPr>
          <w:rFonts w:ascii="Times New Roman" w:cs="Times New Roman" w:hAnsi="Times New Roman"/>
          <w:sz w:val="20"/>
          <w:szCs w:val="20"/>
        </w:rPr>
        <w:t xml:space="preserve"> There are 10 wored</w:t>
      </w:r>
      <w:r>
        <w:rPr>
          <w:rFonts w:ascii="Times New Roman" w:cs="Times New Roman" w:hAnsi="Times New Roman"/>
          <w:sz w:val="20"/>
          <w:szCs w:val="20"/>
        </w:rPr>
        <w:t xml:space="preserve"> </w:t>
      </w:r>
      <w:r>
        <w:rPr>
          <w:rFonts w:ascii="Times New Roman" w:cs="Times New Roman" w:hAnsi="Times New Roman"/>
          <w:sz w:val="20"/>
          <w:szCs w:val="20"/>
        </w:rPr>
        <w:t>as and one town administration in the zone and Hosanna town its administrative center which is 235 km away from Addis Ababa.  In the town there is one hospital and three health center which gives preventive, curative and rehabilitative service for the population. The hospital has a separate ART clinic and the clinic has one doctor, one nurse, one   pharmacist and two data clerks.</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The population of the study</w:t>
      </w:r>
      <w:r>
        <w:rPr>
          <w:rFonts w:ascii="Times New Roman" w:cs="Times New Roman" w:hAnsi="Times New Roman"/>
          <w:sz w:val="20"/>
          <w:szCs w:val="20"/>
        </w:rPr>
        <w:t xml:space="preserve"> was</w:t>
      </w:r>
      <w:r>
        <w:rPr>
          <w:rFonts w:ascii="Times New Roman" w:cs="Times New Roman" w:hAnsi="Times New Roman"/>
          <w:sz w:val="20"/>
          <w:szCs w:val="20"/>
        </w:rPr>
        <w:t xml:space="preserve"> All HIV </w:t>
      </w:r>
      <w:r>
        <w:rPr>
          <w:rFonts w:ascii="Times New Roman" w:cs="Times New Roman" w:hAnsi="Times New Roman"/>
          <w:sz w:val="20"/>
          <w:szCs w:val="20"/>
        </w:rPr>
        <w:t>positive</w:t>
      </w:r>
      <w:r>
        <w:rPr>
          <w:rFonts w:ascii="Times New Roman" w:cs="Times New Roman" w:hAnsi="Times New Roman"/>
          <w:sz w:val="20"/>
          <w:szCs w:val="20"/>
        </w:rPr>
        <w:t xml:space="preserve"> patients who were</w:t>
      </w:r>
      <w:r>
        <w:rPr>
          <w:rFonts w:ascii="Times New Roman" w:cs="Times New Roman" w:hAnsi="Times New Roman"/>
          <w:sz w:val="20"/>
          <w:szCs w:val="20"/>
        </w:rPr>
        <w:t xml:space="preserve"> 15</w:t>
      </w:r>
      <w:r>
        <w:rPr>
          <w:rFonts w:ascii="Times New Roman" w:cs="Times New Roman" w:hAnsi="Times New Roman"/>
          <w:sz w:val="20"/>
          <w:szCs w:val="20"/>
        </w:rPr>
        <w:t xml:space="preserve"> years old and above placed under ART in between </w:t>
      </w:r>
      <w:r>
        <w:rPr>
          <w:rFonts w:ascii="Times New Roman" w:cs="Times New Roman" w:hAnsi="Times New Roman"/>
          <w:sz w:val="20"/>
          <w:szCs w:val="20"/>
        </w:rPr>
        <w:t>1</w:t>
      </w:r>
      <w:r>
        <w:rPr>
          <w:rFonts w:ascii="Times New Roman" w:cs="Times New Roman" w:hAnsi="Times New Roman"/>
          <w:sz w:val="20"/>
          <w:szCs w:val="20"/>
          <w:vertAlign w:val="superscript"/>
        </w:rPr>
        <w:t>st</w:t>
      </w:r>
      <w:r>
        <w:rPr>
          <w:rFonts w:ascii="Times New Roman" w:cs="Times New Roman" w:hAnsi="Times New Roman"/>
          <w:sz w:val="20"/>
          <w:szCs w:val="20"/>
        </w:rPr>
        <w:t>February 2011 to 1</w:t>
      </w:r>
      <w:r>
        <w:rPr>
          <w:rFonts w:ascii="Times New Roman" w:cs="Times New Roman" w:hAnsi="Times New Roman"/>
          <w:sz w:val="20"/>
          <w:szCs w:val="20"/>
          <w:vertAlign w:val="superscript"/>
        </w:rPr>
        <w:t>st</w:t>
      </w:r>
      <w:r>
        <w:rPr>
          <w:rFonts w:ascii="Times New Roman" w:cs="Times New Roman" w:hAnsi="Times New Roman"/>
          <w:sz w:val="20"/>
          <w:szCs w:val="20"/>
        </w:rPr>
        <w:t>January 2016</w:t>
      </w:r>
      <w:r>
        <w:rPr>
          <w:rFonts w:ascii="Times New Roman" w:cs="Times New Roman" w:hAnsi="Times New Roman"/>
          <w:sz w:val="20"/>
          <w:szCs w:val="20"/>
        </w:rPr>
        <w:t>in Hossana Queen Elleni</w:t>
      </w:r>
      <w:r>
        <w:rPr>
          <w:rFonts w:ascii="Times New Roman" w:cs="Times New Roman" w:hAnsi="Times New Roman"/>
          <w:sz w:val="20"/>
          <w:szCs w:val="20"/>
        </w:rPr>
        <w:t xml:space="preserve"> </w:t>
      </w:r>
      <w:r>
        <w:rPr>
          <w:rFonts w:ascii="Times New Roman" w:cs="Times New Roman" w:hAnsi="Times New Roman"/>
          <w:sz w:val="20"/>
          <w:szCs w:val="20"/>
        </w:rPr>
        <w:t>Mohamad M</w:t>
      </w:r>
      <w:r>
        <w:rPr>
          <w:rFonts w:ascii="Times New Roman" w:cs="Times New Roman" w:hAnsi="Times New Roman"/>
          <w:sz w:val="20"/>
          <w:szCs w:val="20"/>
        </w:rPr>
        <w:t>emorial Hospital</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Th</w:t>
      </w:r>
      <w:r>
        <w:rPr>
          <w:rFonts w:ascii="Times New Roman" w:cs="Times New Roman" w:hAnsi="Times New Roman"/>
          <w:sz w:val="20"/>
          <w:szCs w:val="20"/>
        </w:rPr>
        <w:t>is</w:t>
      </w:r>
      <w:r>
        <w:rPr>
          <w:rFonts w:ascii="Times New Roman" w:cs="Times New Roman" w:hAnsi="Times New Roman"/>
          <w:sz w:val="20"/>
          <w:szCs w:val="20"/>
        </w:rPr>
        <w:t xml:space="preserve"> study was</w:t>
      </w:r>
      <w:r>
        <w:rPr>
          <w:rFonts w:ascii="Times New Roman" w:cs="Times New Roman" w:hAnsi="Times New Roman"/>
          <w:sz w:val="20"/>
          <w:szCs w:val="20"/>
        </w:rPr>
        <w:t xml:space="preserve"> based</w:t>
      </w:r>
      <w:r>
        <w:rPr>
          <w:rFonts w:ascii="Times New Roman" w:cs="Times New Roman" w:hAnsi="Times New Roman"/>
          <w:sz w:val="20"/>
          <w:szCs w:val="20"/>
        </w:rPr>
        <w:t xml:space="preserve"> on a review of the patients’ intake forms and follow-up cards of HIV patients. For uniformity use in the country so that those forms can be used to document almost all relevant clinical and laboratory variables.</w:t>
      </w:r>
      <w:r>
        <w:rPr>
          <w:rFonts w:ascii="Times New Roman" w:cs="Times New Roman" w:hAnsi="Times New Roman"/>
          <w:sz w:val="20"/>
          <w:szCs w:val="20"/>
        </w:rPr>
        <w:t xml:space="preserve"> In thisstudy were a</w:t>
      </w:r>
      <w:r>
        <w:rPr>
          <w:rFonts w:ascii="Times New Roman" w:cs="Times New Roman" w:hAnsi="Times New Roman"/>
          <w:sz w:val="20"/>
          <w:szCs w:val="20"/>
        </w:rPr>
        <w:t xml:space="preserve"> total of 933 HIV infected patients </w:t>
      </w:r>
      <w:r>
        <w:rPr>
          <w:rFonts w:ascii="Times New Roman" w:cs="Times New Roman" w:hAnsi="Times New Roman"/>
          <w:sz w:val="20"/>
          <w:szCs w:val="20"/>
        </w:rPr>
        <w:t>were</w:t>
      </w:r>
      <w:r>
        <w:rPr>
          <w:rFonts w:ascii="Times New Roman" w:cs="Times New Roman" w:hAnsi="Times New Roman"/>
          <w:sz w:val="20"/>
          <w:szCs w:val="20"/>
        </w:rPr>
        <w:t xml:space="preserve"> investigated </w:t>
      </w:r>
      <w:r>
        <w:rPr>
          <w:rFonts w:ascii="Times New Roman" w:cs="Times New Roman" w:hAnsi="Times New Roman"/>
          <w:sz w:val="20"/>
          <w:szCs w:val="20"/>
        </w:rPr>
        <w:t>who ever s</w:t>
      </w:r>
      <w:r>
        <w:rPr>
          <w:rFonts w:ascii="Times New Roman" w:cs="Times New Roman" w:hAnsi="Times New Roman"/>
          <w:sz w:val="20"/>
          <w:szCs w:val="20"/>
        </w:rPr>
        <w:t>tarted ART.</w:t>
      </w:r>
    </w:p>
    <w:p>
      <w:pPr>
        <w:pStyle w:val="style0"/>
        <w:autoSpaceDE w:val="false"/>
        <w:autoSpaceDN w:val="false"/>
        <w:adjustRightInd w:val="false"/>
        <w:spacing w:lineRule="auto" w:line="240"/>
        <w:ind w:firstLine="270" w:left="-270"/>
        <w:jc w:val="both"/>
        <w:rPr>
          <w:rFonts w:ascii="Times New Roman" w:cs="Times New Roman" w:hAnsi="Times New Roman" w:eastAsiaTheme="minorHAnsi"/>
          <w:color w:val="000000"/>
          <w:sz w:val="20"/>
          <w:szCs w:val="20"/>
        </w:rPr>
      </w:pPr>
      <w:r>
        <w:rPr>
          <w:rFonts w:ascii="Times New Roman" w:cs="Times New Roman" w:hAnsi="Times New Roman" w:eastAsiaTheme="minorHAnsi"/>
          <w:color w:val="000000"/>
          <w:sz w:val="20"/>
          <w:szCs w:val="20"/>
        </w:rPr>
        <w:t xml:space="preserve">          </w:t>
      </w:r>
      <w:r>
        <w:rPr>
          <w:rFonts w:ascii="Times New Roman" w:cs="Times New Roman" w:hAnsi="Times New Roman" w:eastAsiaTheme="minorHAnsi"/>
          <w:color w:val="000000"/>
          <w:sz w:val="20"/>
          <w:szCs w:val="20"/>
        </w:rPr>
        <w:t>The data were extracted from the available standard national medical registers which have been adopted by Federal Ministry of Health (FMOH) to be uniformly used by clinicians to simply identify and document clinical and laboratory variables. The registers include pre-ART register and follow up form, ART intake form, patients’ card and d</w:t>
      </w:r>
      <w:r>
        <w:rPr>
          <w:rFonts w:ascii="Times New Roman" w:cs="Times New Roman" w:hAnsi="Times New Roman" w:eastAsiaTheme="minorHAnsi"/>
          <w:color w:val="000000"/>
          <w:sz w:val="20"/>
          <w:szCs w:val="20"/>
        </w:rPr>
        <w:t xml:space="preserve">eath certificate </w:t>
      </w:r>
      <w:r>
        <w:rPr>
          <w:rFonts w:ascii="Times New Roman" w:cs="Times New Roman" w:hAnsi="Times New Roman" w:eastAsiaTheme="minorHAnsi"/>
          <w:color w:val="000000"/>
          <w:sz w:val="20"/>
          <w:szCs w:val="20"/>
        </w:rPr>
        <w:t>complemented registration</w:t>
      </w:r>
      <w:r>
        <w:rPr>
          <w:rFonts w:ascii="Times New Roman" w:cs="Times New Roman" w:hAnsi="Times New Roman" w:eastAsiaTheme="minorHAnsi"/>
          <w:color w:val="000000"/>
          <w:sz w:val="20"/>
          <w:szCs w:val="20"/>
        </w:rPr>
        <w:t xml:space="preserve"> by home visitors. The data were collected by data clerks working in the clinic and coded and analyzed using the statistical packages STATA and R.</w:t>
      </w:r>
    </w:p>
    <w:p>
      <w:pPr>
        <w:pStyle w:val="style0"/>
        <w:autoSpaceDE w:val="false"/>
        <w:autoSpaceDN w:val="false"/>
        <w:adjustRightInd w:val="false"/>
        <w:spacing w:after="0" w:lineRule="auto" w:line="240"/>
        <w:ind w:firstLine="270" w:left="-270"/>
        <w:jc w:val="both"/>
        <w:rPr>
          <w:rFonts w:ascii="Times New Roman" w:cs="Times New Roman" w:eastAsia="TimesNewRoman,Bold" w:hAnsi="Times New Roman"/>
          <w:b/>
          <w:bCs/>
          <w:sz w:val="20"/>
          <w:szCs w:val="20"/>
        </w:rPr>
      </w:pPr>
      <w:r>
        <w:rPr>
          <w:rFonts w:ascii="Times New Roman" w:cs="Times New Roman" w:eastAsia="TimesNewRoman,Bold" w:hAnsi="Times New Roman"/>
          <w:b/>
          <w:bCs/>
          <w:sz w:val="20"/>
          <w:szCs w:val="20"/>
        </w:rPr>
        <w:t xml:space="preserve">    </w:t>
      </w:r>
      <w:r>
        <w:rPr>
          <w:rFonts w:ascii="Times New Roman" w:cs="Times New Roman" w:eastAsia="TimesNewRoman,Bold" w:hAnsi="Times New Roman"/>
          <w:b/>
          <w:bCs/>
          <w:sz w:val="20"/>
          <w:szCs w:val="20"/>
        </w:rPr>
        <w:t xml:space="preserve">2.2. </w:t>
      </w:r>
      <w:r>
        <w:rPr>
          <w:rFonts w:ascii="Times New Roman" w:cs="Times New Roman" w:eastAsia="TimesNewRoman,Bold" w:hAnsi="Times New Roman"/>
          <w:b/>
          <w:bCs/>
          <w:sz w:val="20"/>
          <w:szCs w:val="20"/>
        </w:rPr>
        <w:t>Methodology of the Study</w:t>
      </w:r>
      <w:bookmarkStart w:id="96" w:name="_Toc450285311"/>
      <w:bookmarkStart w:id="97" w:name="_Toc450288321"/>
      <w:bookmarkStart w:id="98" w:name="_Toc450292770"/>
      <w:bookmarkStart w:id="99" w:name="_Toc450294497"/>
      <w:bookmarkStart w:id="100" w:name="_Toc450294880"/>
      <w:bookmarkStart w:id="101" w:name="_Toc450724149"/>
      <w:bookmarkStart w:id="102" w:name="_Toc450724394"/>
      <w:bookmarkStart w:id="103" w:name="_Toc451494705"/>
      <w:bookmarkStart w:id="104" w:name="_Toc451496299"/>
      <w:bookmarkStart w:id="105" w:name="_Toc451496802"/>
      <w:bookmarkStart w:id="106" w:name="_Toc451522833"/>
      <w:bookmarkStart w:id="107" w:name="_Toc451742088"/>
      <w:bookmarkStart w:id="108" w:name="_Toc451742829"/>
      <w:bookmarkStart w:id="109" w:name="_Toc452191091"/>
      <w:bookmarkStart w:id="110" w:name="_Toc452191640"/>
      <w:bookmarkStart w:id="111" w:name="_Toc452195061"/>
    </w:p>
    <w:p>
      <w:pPr>
        <w:pStyle w:val="style0"/>
        <w:autoSpaceDE w:val="false"/>
        <w:autoSpaceDN w:val="false"/>
        <w:adjustRightInd w:val="false"/>
        <w:spacing w:after="0" w:lineRule="auto" w:line="240"/>
        <w:ind w:firstLine="270" w:left="-270"/>
        <w:jc w:val="both"/>
        <w:rPr>
          <w:rFonts w:ascii="Times New Roman" w:cs="Times New Roman" w:hAnsi="Times New Roman" w:eastAsiaTheme="minorHAnsi"/>
          <w:color w:val="000000"/>
          <w:sz w:val="20"/>
          <w:szCs w:val="20"/>
        </w:rPr>
      </w:pPr>
      <w:r>
        <w:rPr>
          <w:rFonts w:ascii="Times New Roman" w:cs="Times New Roman" w:eastAsia="TimesNewRoman,Bold" w:hAnsi="Times New Roman"/>
          <w:b/>
          <w:bCs/>
          <w:sz w:val="20"/>
          <w:szCs w:val="20"/>
        </w:rPr>
        <w:t xml:space="preserve">       </w:t>
      </w:r>
      <w:r>
        <w:rPr>
          <w:rFonts w:ascii="Times New Roman" w:cs="Times New Roman" w:eastAsia="TimesNewRoman,Bold" w:hAnsi="Times New Roman"/>
          <w:b/>
          <w:bCs/>
          <w:sz w:val="20"/>
          <w:szCs w:val="20"/>
        </w:rPr>
        <w:t xml:space="preserve">        </w:t>
      </w:r>
      <w:r>
        <w:rPr>
          <w:rFonts w:ascii="Times New Roman" w:cs="Times New Roman" w:eastAsia="TimesNewRoman,Bold" w:hAnsi="Times New Roman"/>
          <w:b/>
          <w:bCs/>
          <w:sz w:val="20"/>
          <w:szCs w:val="20"/>
        </w:rPr>
        <w:t xml:space="preserve"> </w:t>
      </w:r>
      <w:r>
        <w:rPr>
          <w:rFonts w:ascii="Times New Roman" w:cs="Times New Roman" w:eastAsia="TimesNewRoman,Bold" w:hAnsi="Times New Roman"/>
          <w:b/>
          <w:bCs/>
          <w:sz w:val="20"/>
          <w:szCs w:val="20"/>
        </w:rPr>
        <w:t xml:space="preserve">2.2.1. </w:t>
      </w:r>
      <w:r>
        <w:rPr>
          <w:rFonts w:ascii="Times New Roman" w:cs="Times New Roman" w:hAnsi="Times New Roman"/>
          <w:b/>
          <w:bCs/>
          <w:sz w:val="20"/>
          <w:szCs w:val="20"/>
        </w:rPr>
        <w:t>Methods of Survival Analysis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style0"/>
        <w:spacing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S</w:t>
      </w:r>
      <w:r>
        <w:rPr>
          <w:rFonts w:ascii="Times New Roman" w:cs="Times New Roman" w:hAnsi="Times New Roman"/>
          <w:sz w:val="20"/>
          <w:szCs w:val="20"/>
        </w:rPr>
        <w:t>urvival analysis is an important statistical technique used to describe and model time to event data. The purpose of survival analysis is to model the underlying distribution of the failure time variable and to assess the dependence of the failure time variable on covariates. The term survival analysis suggests that the event is death, but that is not necessarily so. Events could also denote success, such as recovery from therapy. Survival time then describes the time from a certain origin to the occurrence of an event.</w:t>
      </w:r>
      <w:bookmarkStart w:id="112" w:name="_Toc450285313"/>
      <w:bookmarkStart w:id="113" w:name="_Toc450288323"/>
      <w:bookmarkStart w:id="114" w:name="_Toc450292772"/>
      <w:bookmarkStart w:id="115" w:name="_Toc450294499"/>
      <w:bookmarkStart w:id="116" w:name="_Toc450294882"/>
      <w:bookmarkStart w:id="117" w:name="_Toc450724151"/>
      <w:bookmarkStart w:id="118" w:name="_Toc450724396"/>
      <w:bookmarkStart w:id="119" w:name="_Toc451494706"/>
      <w:bookmarkStart w:id="120" w:name="_Toc451496300"/>
      <w:bookmarkStart w:id="121" w:name="_Toc451496803"/>
      <w:bookmarkStart w:id="122" w:name="_Toc451522834"/>
      <w:bookmarkStart w:id="123" w:name="_Toc451742089"/>
      <w:bookmarkStart w:id="124" w:name="_Toc451742830"/>
      <w:bookmarkStart w:id="125" w:name="_Toc452191092"/>
      <w:bookmarkStart w:id="126" w:name="_Toc452191641"/>
      <w:bookmarkStart w:id="127" w:name="_Toc452195062"/>
    </w:p>
    <w:p>
      <w:pPr>
        <w:pStyle w:val="style0"/>
        <w:spacing w:lineRule="auto" w:line="240"/>
        <w:ind w:firstLine="270" w:left="-270"/>
        <w:jc w:val="both"/>
        <w:rPr>
          <w:rFonts w:ascii="Times New Roman" w:cs="Times New Roman" w:hAnsi="Times New Roman"/>
          <w:sz w:val="20"/>
          <w:szCs w:val="20"/>
        </w:rPr>
      </w:pPr>
      <w:r>
        <w:rPr>
          <w:rFonts w:ascii="Times New Roman" w:cs="Times New Roman" w:hAnsi="Times New Roman"/>
          <w:b/>
          <w:bCs/>
          <w:sz w:val="20"/>
          <w:szCs w:val="20"/>
        </w:rPr>
        <w:t xml:space="preserve">               </w:t>
      </w:r>
      <w:r>
        <w:rPr>
          <w:rFonts w:ascii="Times New Roman" w:cs="Times New Roman" w:hAnsi="Times New Roman"/>
          <w:b/>
          <w:sz w:val="20"/>
          <w:szCs w:val="20"/>
        </w:rPr>
        <w:t>Descriptive Methods for Survival Data</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style4097"/>
        <w:spacing w:befor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In any applied setting, a statistical analysis should begin with description of the data. In particular, an initial step in the analysis of a set of survival datais to present numerical or graphical summaries of the survival times in a particular </w:t>
      </w:r>
      <w:r>
        <w:rPr>
          <w:rFonts w:ascii="Times New Roman" w:cs="Times New Roman" w:hAnsi="Times New Roman"/>
          <w:sz w:val="20"/>
          <w:szCs w:val="20"/>
        </w:rPr>
        <w:t>group. Routine</w:t>
      </w:r>
      <w:r>
        <w:rPr>
          <w:rFonts w:ascii="Times New Roman" w:cs="Times New Roman" w:hAnsi="Times New Roman"/>
          <w:sz w:val="20"/>
          <w:szCs w:val="20"/>
        </w:rPr>
        <w:t xml:space="preserve"> applications of standard measures of central tendency and variability will notyield estimates of the desired parameters when the data include censored observations. Insummarizing survival data, the two common functions of applied are the survivorfunction and the hazard function (Hosmer and Lemeshow, 1999).</w:t>
      </w:r>
    </w:p>
    <w:p>
      <w:pPr>
        <w:pStyle w:val="style0"/>
        <w:spacing w:after="0" w:lineRule="auto" w:line="240"/>
        <w:ind w:firstLine="270" w:left="-270"/>
        <w:jc w:val="both"/>
        <w:rPr>
          <w:rFonts w:ascii="Times New Roman" w:cs="Times New Roman" w:hAnsi="Times New Roman"/>
          <w:sz w:val="20"/>
          <w:szCs w:val="20"/>
        </w:rPr>
      </w:pP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survivor function, S (t), is defined for both discrete and continuous distribution as the probability that an individual survives beyond time t i.e., for continuous random variable T, the density function, f (t), is given by</w:t>
      </w:r>
    </w:p>
    <w:p>
      <w:pPr>
        <w:pStyle w:val="style0"/>
        <w:spacing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Which represents the probability that a subject selected at random will have a survival time less than some stated value t. Then, the survival function</w:t>
      </w:r>
      <w:r>
        <w:rPr>
          <w:rFonts w:ascii="Times New Roman" w:cs="Times New Roman" w:hAnsi="Times New Roman"/>
          <w:sz w:val="20"/>
          <w:szCs w:val="20"/>
        </w:rPr>
        <w:t xml:space="preserve"> is defined as:</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lang w:eastAsia="en-GB"/>
        </w:rPr>
      </w:pPr>
      <w:r>
        <w:rPr>
          <w:rFonts w:ascii="Times New Roman" w:cs="Times New Roman" w:hAnsi="Times New Roman"/>
          <w:sz w:val="20"/>
          <w:szCs w:val="20"/>
        </w:rPr>
        <w:t>The survivor function can be</w:t>
      </w:r>
      <w:r>
        <w:rPr>
          <w:rFonts w:ascii="Times New Roman" w:cs="Times New Roman" w:hAnsi="Times New Roman"/>
          <w:sz w:val="20"/>
          <w:szCs w:val="20"/>
        </w:rPr>
        <w:t xml:space="preserve"> used to represent the probability that an individual survives from the time origin to sometime beyond t </w:t>
      </w:r>
      <w:r>
        <w:rPr>
          <w:rFonts w:ascii="Times New Roman" w:cs="Times New Roman" w:hAnsi="Times New Roman"/>
          <w:sz w:val="20"/>
          <w:szCs w:val="20"/>
          <w:lang w:eastAsia="en-GB"/>
        </w:rPr>
        <w:t xml:space="preserve">and then </w:t>
      </w:r>
      <w:r>
        <w:rPr>
          <w:rFonts w:ascii="Times New Roman" w:cs="Times New Roman" w:hAnsi="Times New Roman"/>
          <w:sz w:val="20"/>
          <w:szCs w:val="20"/>
        </w:rPr>
        <w:t>relationship between</w:t>
      </w:r>
      <w:r>
        <w:rPr>
          <w:rFonts w:ascii="Times New Roman" w:cs="Times New Roman" w:hAnsi="Times New Roman"/>
          <w:sz w:val="20"/>
          <w:szCs w:val="20"/>
          <w:lang w:eastAsia="en-GB"/>
        </w:rPr>
        <w:t xml:space="preserve"> the probability density function </w:t>
      </w:r>
      <w:r>
        <w:rPr>
          <w:rFonts w:ascii="Times New Roman" w:cs="Times New Roman" w:hAnsi="Times New Roman"/>
          <w:sz w:val="20"/>
          <w:szCs w:val="20"/>
        </w:rPr>
        <w:t xml:space="preserve">f(t) and S(t) </w:t>
      </w:r>
      <w:r>
        <w:rPr>
          <w:rFonts w:ascii="Times New Roman" w:cs="Times New Roman" w:hAnsi="Times New Roman"/>
          <w:sz w:val="20"/>
          <w:szCs w:val="20"/>
          <w:lang w:eastAsia="en-GB"/>
        </w:rPr>
        <w:t>will be:</w:t>
      </w: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(3.3) </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hazard </w:t>
      </w:r>
      <w:r>
        <w:rPr>
          <w:rFonts w:ascii="Times New Roman" w:cs="Times New Roman" w:hAnsi="Times New Roman"/>
          <w:iCs/>
          <w:sz w:val="20"/>
          <w:szCs w:val="20"/>
        </w:rPr>
        <w:t xml:space="preserve">function </w:t>
      </w:r>
      <w:r>
        <w:rPr>
          <w:rFonts w:ascii="Times New Roman" w:cs="Times New Roman" w:hAnsi="Times New Roman"/>
          <w:sz w:val="20"/>
          <w:szCs w:val="20"/>
        </w:rPr>
        <w:t>is defined by</w:t>
      </w:r>
      <w:r>
        <w:rPr>
          <w:rFonts w:ascii="Times New Roman" w:cs="Times New Roman" w:hAnsi="Times New Roman"/>
          <w:sz w:val="20"/>
          <w:szCs w:val="20"/>
        </w:rPr>
        <w:t>: -</w:t>
      </w:r>
      <w:r>
        <w:rPr>
          <w:rFonts w:ascii="Times New Roman" w:cs="Times New Roman" w:hAnsi="Times New Roman"/>
          <w:sz w:val="20"/>
          <w:szCs w:val="20"/>
        </w:rPr>
        <w:t xml:space="preserve">                                                  .</w:t>
      </w:r>
      <w:r>
        <w:rPr>
          <w:rFonts w:ascii="Times New Roman" w:cs="Times New Roman" w:hAnsi="Times New Roman"/>
          <w:sz w:val="20"/>
          <w:szCs w:val="20"/>
        </w:rPr>
        <w:br/>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By applying the theory of conditional probability and t</w:t>
      </w:r>
      <w:r>
        <w:rPr>
          <w:rFonts w:ascii="Times New Roman" w:cs="Times New Roman" w:hAnsi="Times New Roman"/>
          <w:sz w:val="20"/>
          <w:szCs w:val="20"/>
        </w:rPr>
        <w:t>he relationship in equation (3.4</w:t>
      </w:r>
      <w:r>
        <w:rPr>
          <w:rFonts w:ascii="Times New Roman" w:cs="Times New Roman" w:hAnsi="Times New Roman"/>
          <w:sz w:val="20"/>
          <w:szCs w:val="20"/>
        </w:rPr>
        <w:t>), the hazard function can be expressed in terms of the underlying probability density function and the survivor function as follows (Collett, 2003).</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corresponding cumulative hazard function H</w:t>
      </w:r>
      <w:r>
        <w:rPr>
          <w:rFonts w:ascii="Times New Roman" w:cs="Times New Roman" w:hAnsi="Times New Roman"/>
          <w:sz w:val="20"/>
          <w:szCs w:val="20"/>
        </w:rPr>
        <w:t>is defined by:</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Hence the survival function can be rewritten as</w:t>
      </w:r>
    </w:p>
    <w:p>
      <w:pPr>
        <w:pStyle w:val="style0"/>
        <w:tabs>
          <w:tab w:val="left" w:leader="none" w:pos="922"/>
        </w:tabs>
        <w:autoSpaceDE w:val="false"/>
        <w:autoSpaceDN w:val="false"/>
        <w:adjustRightInd w:val="false"/>
        <w:spacing w:lineRule="auto" w:line="240"/>
        <w:ind w:firstLine="270" w:left="-270"/>
        <w:jc w:val="center"/>
        <w:rPr>
          <w:rFonts w:ascii="Times New Roman" w:cs="Times New Roman" w:hAnsi="Times New Roman"/>
          <w:sz w:val="20"/>
          <w:szCs w:val="20"/>
        </w:rPr>
      </w:pPr>
    </w:p>
    <w:bookmarkStart w:id="128" w:name="_Toc451522837"/>
    <w:p>
      <w:pPr>
        <w:pStyle w:val="style4"/>
        <w:spacing w:after="240" w:lineRule="auto" w:line="240"/>
        <w:ind w:firstLine="270" w:left="-270" w:right="144"/>
        <w:rPr>
          <w:rFonts w:ascii="Times New Roman" w:cs="Times New Roman" w:hAnsi="Times New Roman"/>
          <w:i w:val="false"/>
          <w:color w:val="auto"/>
          <w:sz w:val="20"/>
          <w:szCs w:val="20"/>
        </w:rPr>
      </w:pPr>
      <w:r>
        <w:rPr>
          <w:rFonts w:ascii="Times New Roman" w:cs="Times New Roman" w:hAnsi="Times New Roman"/>
          <w:i w:val="false"/>
          <w:color w:val="auto"/>
          <w:sz w:val="20"/>
          <w:szCs w:val="20"/>
        </w:rPr>
        <w:t xml:space="preserve">                   </w:t>
      </w:r>
      <w:r>
        <w:rPr>
          <w:rFonts w:ascii="Times New Roman" w:cs="Times New Roman" w:hAnsi="Times New Roman"/>
          <w:i w:val="false"/>
          <w:color w:val="auto"/>
          <w:sz w:val="20"/>
          <w:szCs w:val="20"/>
        </w:rPr>
        <w:t>Kaplan</w:t>
      </w:r>
      <w:r>
        <w:rPr>
          <w:rFonts w:ascii="Times New Roman" w:cs="Times New Roman" w:hAnsi="Times New Roman"/>
          <w:i w:val="false"/>
          <w:color w:val="auto"/>
          <w:sz w:val="20"/>
          <w:szCs w:val="20"/>
        </w:rPr>
        <w:t>-Meier Estimator of the Survival Function</w:t>
      </w:r>
      <w:bookmarkEnd w:id="128"/>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Kaplan-Meier (KM) estimator proposed by Kaplan and Meier (1958) is the standard non parametric estimator of the survival function</w:t>
      </w:r>
      <w:r>
        <w:rPr>
          <w:rFonts w:ascii="Times New Roman" w:cs="Times New Roman" w:hAnsi="Times New Roman"/>
          <w:sz w:val="20"/>
          <w:szCs w:val="20"/>
        </w:rPr>
        <w:t>W</w:t>
      </w:r>
      <w:r>
        <w:rPr>
          <w:rFonts w:ascii="Times New Roman" w:cs="Times New Roman" w:hAnsi="Times New Roman"/>
          <w:sz w:val="20"/>
          <w:szCs w:val="20"/>
        </w:rPr>
        <w:t xml:space="preserve">hich is also called the Product-Limit estimator incorporates information from all observations available, both censored and uncensored, by considering any point in time as a series of steps defined by the observed survival and censored times. The Kaplan-Meier estimator is used to estimate the survival time (time of censoring) of a patient and construct survival curves to compare the survival experience of a patient between different categorical variables.  </w:t>
      </w:r>
      <w:r>
        <w:rPr>
          <w:rFonts w:ascii="Times New Roman" w:cs="Times New Roman" w:hAnsi="Times New Roman"/>
          <w:bCs/>
          <w:sz w:val="20"/>
          <w:szCs w:val="20"/>
        </w:rPr>
        <w:t>The first step in the analysis of ungrouped censored survival data is normally to obtain the Kaplan-Meier estimate of the survivor function</w:t>
      </w:r>
      <w:r>
        <w:rPr>
          <w:rFonts w:ascii="Times New Roman" w:cs="Times New Roman" w:hAnsi="Times New Roman"/>
          <w:sz w:val="20"/>
          <w:szCs w:val="20"/>
        </w:rPr>
        <w:t xml:space="preserve">. </w:t>
      </w:r>
    </w:p>
    <w:p>
      <w:pPr>
        <w:pStyle w:val="style0"/>
        <w:tabs>
          <w:tab w:val="left" w:leader="none" w:pos="1260"/>
        </w:tabs>
        <w:spacing w:before="240" w:after="0" w:lineRule="auto" w:line="240"/>
        <w:ind w:firstLine="270" w:left="-270"/>
        <w:jc w:val="both"/>
        <w:rPr>
          <w:rFonts w:ascii="Times New Roman" w:cs="Times New Roman" w:eastAsia="Times New Roman" w:hAnsi="Times New Roman"/>
          <w:noProof/>
          <w:sz w:val="20"/>
          <w:szCs w:val="20"/>
        </w:rPr>
      </w:pPr>
      <w:r>
        <w:rPr>
          <w:rFonts w:ascii="Times New Roman" w:cs="Times New Roman" w:hAnsi="Times New Roman"/>
          <w:sz w:val="20"/>
          <w:szCs w:val="20"/>
        </w:rPr>
        <w:t xml:space="preserve">Then the Kaplan-Meier estimator of the survival function at time </w:t>
      </w:r>
      <w:r>
        <w:rPr>
          <w:rFonts w:ascii="Times New Roman" w:cs="Times New Roman" w:hAnsi="Times New Roman"/>
          <w:iCs/>
          <w:sz w:val="20"/>
          <w:szCs w:val="20"/>
        </w:rPr>
        <w:t xml:space="preserve">t </w:t>
      </w:r>
      <w:r>
        <w:rPr>
          <w:rFonts w:ascii="Times New Roman" w:cs="Times New Roman" w:hAnsi="Times New Roman"/>
          <w:sz w:val="20"/>
          <w:szCs w:val="20"/>
        </w:rPr>
        <w:t>is given by</w:t>
      </w:r>
      <w:r>
        <w:rPr>
          <w:rFonts w:ascii="Times New Roman" w:cs="Times New Roman" w:eastAsia="Times New Roman" w:hAnsi="Times New Roman"/>
          <w:sz w:val="20"/>
          <w:szCs w:val="20"/>
        </w:rPr>
        <w:t>:</w:t>
      </w:r>
    </w:p>
    <w:p>
      <w:pPr>
        <w:pStyle w:val="style0"/>
        <w:tabs>
          <w:tab w:val="left" w:leader="none" w:pos="1260"/>
        </w:tabs>
        <w:spacing w:before="240" w:after="0" w:lineRule="auto" w:line="240"/>
        <w:ind w:firstLine="270" w:left="-270"/>
        <w:jc w:val="both"/>
        <w:rPr>
          <w:rFonts w:ascii="Times New Roman" w:cs="Times New Roman" w:eastAsia="Times New Roman" w:hAnsi="Times New Roman"/>
          <w:noProof/>
          <w:sz w:val="20"/>
          <w:szCs w:val="20"/>
        </w:rPr>
      </w:pPr>
      <w:r>
        <w:rPr>
          <w:rFonts w:ascii="Times New Roman" w:cs="Times New Roman" w:eastAsia="Times New Roman" w:hAnsi="Times New Roman"/>
          <w:noProof/>
          <w:sz w:val="20"/>
          <w:szCs w:val="20"/>
        </w:rPr>
        <w:t>(3.8)</w:t>
      </w:r>
      <w:r>
        <w:rPr>
          <w:rFonts w:ascii="Times New Roman" w:cs="Times New Roman" w:eastAsia="Times New Roman" w:hAnsi="Times New Roman"/>
          <w:noProof/>
          <w:sz w:val="20"/>
          <w:szCs w:val="20"/>
        </w:rPr>
        <w:t xml:space="preserve"> for t</w:t>
      </w:r>
      <w:r>
        <w:rPr>
          <w:rFonts w:ascii="Times New Roman" w:cs="Times New Roman" w:eastAsia="Times New Roman" w:hAnsi="Times New Roman"/>
          <w:noProof/>
          <w:sz w:val="20"/>
          <w:szCs w:val="20"/>
          <w:vertAlign w:val="subscript"/>
        </w:rPr>
        <w:t>(k)</w:t>
      </w:r>
      <w:r>
        <w:rPr>
          <w:rFonts w:ascii="Times New Roman" w:cs="Times New Roman" w:eastAsia="Times New Roman" w:hAnsi="Times New Roman"/>
          <w:sz w:val="20"/>
          <w:szCs w:val="20"/>
        </w:rPr>
        <w:t xml:space="preserve"> ≤ </w:t>
      </w:r>
      <w:r>
        <w:rPr>
          <w:rFonts w:ascii="Times New Roman" w:cs="Times New Roman" w:eastAsia="Times New Roman" w:hAnsi="Times New Roman"/>
          <w:noProof/>
          <w:sz w:val="20"/>
          <w:szCs w:val="20"/>
        </w:rPr>
        <w:t>t</w:t>
      </w:r>
      <w:r>
        <w:rPr>
          <w:rFonts w:ascii="Times New Roman" w:cs="Times New Roman" w:eastAsia="Times New Roman" w:hAnsi="Times New Roman"/>
          <w:noProof/>
          <w:sz w:val="20"/>
          <w:szCs w:val="20"/>
          <w:vertAlign w:val="subscript"/>
        </w:rPr>
        <w:t>(k+1)</w:t>
      </w:r>
      <w:r>
        <w:rPr>
          <w:rFonts w:ascii="Times New Roman" w:cs="Times New Roman" w:eastAsia="Times New Roman" w:hAnsi="Times New Roman"/>
          <w:noProof/>
          <w:sz w:val="20"/>
          <w:szCs w:val="20"/>
        </w:rPr>
        <w:tab/>
      </w:r>
      <w:r>
        <w:rPr>
          <w:rFonts w:ascii="Times New Roman" w:cs="Times New Roman" w:eastAsia="Times New Roman" w:hAnsi="Times New Roman"/>
          <w:noProof/>
          <w:sz w:val="20"/>
          <w:szCs w:val="20"/>
        </w:rPr>
        <w:t>, j</w:t>
      </w:r>
      <w:r>
        <w:rPr>
          <w:rFonts w:ascii="Times New Roman" w:cs="Times New Roman" w:eastAsia="Times New Roman" w:hAnsi="Times New Roman"/>
          <w:noProof/>
          <w:sz w:val="20"/>
          <w:szCs w:val="20"/>
        </w:rPr>
        <w:t xml:space="preserve">=1,2,…,r, with  </w:t>
      </w:r>
      <w:r>
        <w:rPr>
          <w:rFonts w:ascii="Times New Roman" w:cs="Times New Roman" w:eastAsia="Times New Roman" w:hAnsi="Times New Roman"/>
          <w:noProof/>
          <w:sz w:val="20"/>
          <w:szCs w:val="20"/>
        </w:rPr>
        <w:t>(t)=1 for t &lt; t</w:t>
      </w:r>
      <w:r>
        <w:rPr>
          <w:rFonts w:ascii="Times New Roman" w:cs="Times New Roman" w:eastAsia="Times New Roman" w:hAnsi="Times New Roman"/>
          <w:noProof/>
          <w:sz w:val="20"/>
          <w:szCs w:val="20"/>
          <w:vertAlign w:val="subscript"/>
        </w:rPr>
        <w:t>(1).</w:t>
      </w: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Where, </w:t>
      </w:r>
      <w:r>
        <w:rPr>
          <w:rFonts w:ascii="Times New Roman" w:cs="Times New Roman" w:hAnsi="Times New Roman"/>
          <w:sz w:val="20"/>
          <w:szCs w:val="20"/>
        </w:rPr>
        <w:t xml:space="preserve">is the number of individuals who are at risk of dying at </w:t>
      </w:r>
      <w:r>
        <w:rPr>
          <w:rFonts w:ascii="Times New Roman" w:cs="Times New Roman" w:hAnsi="Times New Roman"/>
          <w:sz w:val="20"/>
          <w:szCs w:val="20"/>
        </w:rPr>
        <w:t xml:space="preserve">time </w:t>
      </w:r>
      <w:r>
        <w:rPr>
          <w:rFonts w:ascii="Times New Roman" w:cs="Times New Roman" w:hAnsi="Times New Roman"/>
          <w:sz w:val="20"/>
          <w:szCs w:val="20"/>
        </w:rPr>
        <w:t xml:space="preserve">and  </w:t>
      </w:r>
      <w:r>
        <w:rPr>
          <w:rFonts w:ascii="Times New Roman" w:cs="Times New Roman" w:hAnsi="Times New Roman"/>
          <w:sz w:val="20"/>
          <w:szCs w:val="20"/>
        </w:rPr>
        <w:t xml:space="preserve"> is the number of individuals who failed (died) at time</w:t>
      </w:r>
      <w:r>
        <w:rPr>
          <w:rFonts w:ascii="Times New Roman" w:cs="Times New Roman" w:hAnsi="Times New Roman"/>
          <w:sz w:val="20"/>
          <w:szCs w:val="20"/>
        </w:rPr>
        <w:t>. The variance of Kaplan-Meier survival estimator is estimated using Greenwood’s formula (Collett, 2003) given as:</w:t>
      </w: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(3.9)</w:t>
      </w:r>
    </w:p>
    <w:bookmarkStart w:id="129" w:name="_Toc375704392"/>
    <w:bookmarkStart w:id="130" w:name="_Toc414498710"/>
    <w:bookmarkStart w:id="131" w:name="_Toc443622492"/>
    <w:bookmarkStart w:id="132" w:name="_Toc443623674"/>
    <w:bookmarkStart w:id="133" w:name="_Toc443623810"/>
    <w:bookmarkStart w:id="134" w:name="_Toc443623930"/>
    <w:bookmarkStart w:id="135" w:name="_Toc443624190"/>
    <w:bookmarkStart w:id="136" w:name="_Toc443626162"/>
    <w:bookmarkStart w:id="137" w:name="_Toc450285314"/>
    <w:bookmarkStart w:id="138" w:name="_Toc450288324"/>
    <w:bookmarkStart w:id="139" w:name="_Toc450292773"/>
    <w:bookmarkStart w:id="140" w:name="_Toc450294500"/>
    <w:bookmarkStart w:id="141" w:name="_Toc450294883"/>
    <w:bookmarkStart w:id="142" w:name="_Toc450724152"/>
    <w:bookmarkStart w:id="143" w:name="_Toc450724397"/>
    <w:bookmarkStart w:id="144" w:name="_Toc451494707"/>
    <w:bookmarkStart w:id="145" w:name="_Toc451496301"/>
    <w:bookmarkStart w:id="146" w:name="_Toc451496804"/>
    <w:bookmarkStart w:id="147" w:name="_Toc451522839"/>
    <w:bookmarkStart w:id="148" w:name="_Toc451742090"/>
    <w:bookmarkStart w:id="149" w:name="_Toc451742831"/>
    <w:p>
      <w:pPr>
        <w:pStyle w:val="style0"/>
        <w:autoSpaceDE w:val="false"/>
        <w:autoSpaceDN w:val="false"/>
        <w:adjustRightInd w:val="false"/>
        <w:spacing w:before="240" w:lineRule="auto" w:line="240"/>
        <w:ind w:firstLine="270" w:left="-270" w:right="144"/>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 xml:space="preserve"> </w:t>
      </w:r>
      <w:r>
        <w:rPr>
          <w:rFonts w:ascii="Times New Roman" w:cs="Times New Roman" w:hAnsi="Times New Roman"/>
          <w:b/>
          <w:sz w:val="20"/>
          <w:szCs w:val="20"/>
        </w:rPr>
        <w:t xml:space="preserve">2.2.2 </w:t>
      </w:r>
      <w:r>
        <w:rPr>
          <w:rFonts w:ascii="Times New Roman" w:cs="Times New Roman" w:hAnsi="Times New Roman"/>
          <w:b/>
          <w:sz w:val="20"/>
          <w:szCs w:val="20"/>
        </w:rPr>
        <w:t>Modeling</w:t>
      </w:r>
      <w:r>
        <w:rPr>
          <w:rFonts w:ascii="Times New Roman" w:cs="Times New Roman" w:hAnsi="Times New Roman"/>
          <w:b/>
          <w:sz w:val="20"/>
          <w:szCs w:val="20"/>
        </w:rPr>
        <w:t xml:space="preserve"> Survival Data</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style0"/>
        <w:spacing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Both the non-parametric methods defined earlier are examples of univariate analysis; they describe the survival with respect to the factor under investigation, but necessarily ignore the impact of any others. In clinical investigations it is more common to have a situation where covariates potentially affect patient forecast. When investigating survival in relation to any one factor, it is often desirable to adjust for the impact of others. Moreover, while the log-rank test provides a P-value for the differences between the groups, it offers no estimate of the actual effect size. </w:t>
      </w:r>
    </w:p>
    <w:bookmarkStart w:id="150" w:name="_Toc375704394"/>
    <w:bookmarkStart w:id="151" w:name="_Toc414498712"/>
    <w:bookmarkStart w:id="152" w:name="_Toc443622494"/>
    <w:bookmarkStart w:id="153" w:name="_Toc443623676"/>
    <w:bookmarkStart w:id="154" w:name="_Toc443623812"/>
    <w:bookmarkStart w:id="155" w:name="_Toc443623932"/>
    <w:bookmarkStart w:id="156" w:name="_Toc443624192"/>
    <w:bookmarkStart w:id="157" w:name="_Toc443626164"/>
    <w:bookmarkStart w:id="158" w:name="_Toc450285317"/>
    <w:bookmarkStart w:id="159" w:name="_Toc450288327"/>
    <w:bookmarkStart w:id="160" w:name="_Toc450292776"/>
    <w:bookmarkStart w:id="161" w:name="_Toc450294503"/>
    <w:bookmarkStart w:id="162" w:name="_Toc450294886"/>
    <w:bookmarkStart w:id="163" w:name="_Toc451522842"/>
    <w:p>
      <w:pPr>
        <w:pStyle w:val="style4"/>
        <w:spacing w:after="240" w:lineRule="auto" w:line="240"/>
        <w:ind w:firstLine="270" w:left="-270" w:right="144"/>
        <w:rPr>
          <w:rFonts w:ascii="Times New Roman" w:cs="Times New Roman" w:hAnsi="Times New Roman"/>
          <w:i w:val="false"/>
          <w:color w:val="auto"/>
          <w:sz w:val="20"/>
          <w:szCs w:val="20"/>
        </w:rPr>
      </w:pPr>
      <w:r>
        <w:rPr>
          <w:rFonts w:ascii="Times New Roman" w:cs="Times New Roman" w:hAnsi="Times New Roman"/>
          <w:i w:val="false"/>
          <w:color w:val="auto"/>
          <w:sz w:val="20"/>
          <w:szCs w:val="20"/>
        </w:rPr>
        <w:t xml:space="preserve">                          </w:t>
      </w:r>
      <w:r>
        <w:rPr>
          <w:rFonts w:ascii="Times New Roman" w:cs="Times New Roman" w:hAnsi="Times New Roman"/>
          <w:i w:val="false"/>
          <w:color w:val="auto"/>
          <w:sz w:val="20"/>
          <w:szCs w:val="20"/>
        </w:rPr>
        <w:t xml:space="preserve"> Fitting the Cox Proportional Hazard Regression Model</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Fitting the Cox model to observed survival data requires estimating the unknown regression coefficients (</w:t>
      </w:r>
      <w:r>
        <w:rPr>
          <w:rFonts w:ascii="Times New Roman" w:cs="Times New Roman" w:hAnsi="Times New Roman"/>
          <w:sz w:val="20"/>
          <w:szCs w:val="20"/>
        </w:rPr>
        <w:t>). Also, the baseline hazard function must be estimated. It turns out that these two components of the model can be estimated separately. The coefficients should be estimated first and the estimates are then used to construct an estimate of the baseline hazard function. The regression coefficients in the proportional hazards Cox model, which are the unknown parameters in the model, can be estimated using the method of maximum likelihood (Collett, 2003).</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In Cox proportional hazards model we can estimate the vector of parameters </w:t>
      </w:r>
      <w:r>
        <w:rPr>
          <w:rFonts w:ascii="Times New Roman" w:cs="Times New Roman" w:hAnsi="Times New Roman"/>
          <w:b/>
          <w:sz w:val="20"/>
          <w:szCs w:val="20"/>
        </w:rPr>
        <w:t>β</w:t>
      </w:r>
      <w:r>
        <w:rPr>
          <w:rFonts w:ascii="Times New Roman" w:cs="Times New Roman" w:hAnsi="Times New Roman"/>
          <w:sz w:val="20"/>
          <w:szCs w:val="20"/>
        </w:rPr>
        <w:t xml:space="preserve"> without having any assumptions about the baseline </w:t>
      </w:r>
      <w:r>
        <w:rPr>
          <w:rFonts w:ascii="Times New Roman" w:cs="Times New Roman" w:hAnsi="Times New Roman"/>
          <w:sz w:val="20"/>
          <w:szCs w:val="20"/>
        </w:rPr>
        <w:t>hazard,</w:t>
      </w:r>
      <w:r>
        <w:rPr>
          <w:rFonts w:ascii="Times New Roman" w:cs="Times New Roman" w:hAnsi="Times New Roman"/>
          <w:sz w:val="20"/>
          <w:szCs w:val="20"/>
        </w:rPr>
        <w:t>. As a consequence, this model is more flexible and an estimate of the parameters can be obtained easily</w:t>
      </w:r>
      <w:r>
        <w:rPr>
          <w:rFonts w:ascii="Times New Roman" w:cs="Times New Roman" w:hAnsi="Times New Roman"/>
          <w:sz w:val="20"/>
          <w:szCs w:val="20"/>
        </w:rPr>
        <w:t>.</w:t>
      </w:r>
    </w:p>
    <w:p>
      <w:pPr>
        <w:pStyle w:val="style0"/>
        <w:autoSpaceDE w:val="false"/>
        <w:autoSpaceDN w:val="false"/>
        <w:adjustRightInd w:val="false"/>
        <w:spacing w:before="120" w:lineRule="auto" w:line="240"/>
        <w:ind w:firstLine="270" w:left="-270"/>
        <w:jc w:val="both"/>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 xml:space="preserve">Maximum Likelihood Estimation </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Suppose the survival data based on n independent observations are denoted by the triplet </w:t>
      </w:r>
      <w:r>
        <w:rPr>
          <w:rFonts w:ascii="Times New Roman" w:cs="Times New Roman" w:eastAsia="Arial Unicode MS" w:hAnsi="Times New Roman"/>
          <w:sz w:val="20"/>
          <w:szCs w:val="20"/>
        </w:rPr>
        <w:t>(t</w:t>
      </w:r>
      <w:r>
        <w:rPr>
          <w:rFonts w:ascii="Times New Roman" w:cs="Times New Roman" w:eastAsia="Arial Unicode MS" w:hAnsi="Times New Roman"/>
          <w:sz w:val="20"/>
          <w:szCs w:val="20"/>
          <w:vertAlign w:val="subscript"/>
        </w:rPr>
        <w:t>i</w:t>
      </w:r>
      <w:r>
        <w:rPr>
          <w:rFonts w:ascii="Times New Roman" w:cs="Times New Roman" w:eastAsia="Arial Unicode MS" w:hAnsi="Times New Roman"/>
          <w:sz w:val="20"/>
          <w:szCs w:val="20"/>
        </w:rPr>
        <w:t>, δ</w:t>
      </w:r>
      <w:r>
        <w:rPr>
          <w:rFonts w:ascii="Times New Roman" w:cs="Times New Roman" w:eastAsia="Arial Unicode MS" w:hAnsi="Times New Roman"/>
          <w:sz w:val="20"/>
          <w:szCs w:val="20"/>
          <w:vertAlign w:val="subscript"/>
        </w:rPr>
        <w:t>i</w:t>
      </w:r>
      <w:r>
        <w:rPr>
          <w:rFonts w:ascii="Times New Roman" w:cs="Times New Roman" w:eastAsia="Arial Unicode MS" w:hAnsi="Times New Roman"/>
          <w:sz w:val="20"/>
          <w:szCs w:val="20"/>
        </w:rPr>
        <w:t xml:space="preserve">, </w:t>
      </w:r>
      <w:r>
        <w:rPr>
          <w:rFonts w:ascii="Times New Roman" w:cs="Times New Roman" w:eastAsia="Arial Unicode MS" w:hAnsi="Times New Roman"/>
          <w:b/>
          <w:sz w:val="20"/>
          <w:szCs w:val="20"/>
        </w:rPr>
        <w:t>X</w:t>
      </w:r>
      <w:r>
        <w:rPr>
          <w:rFonts w:ascii="Times New Roman" w:cs="Times New Roman" w:eastAsia="Arial Unicode MS" w:hAnsi="Times New Roman"/>
          <w:b/>
          <w:sz w:val="20"/>
          <w:szCs w:val="20"/>
          <w:vertAlign w:val="subscript"/>
        </w:rPr>
        <w:t>i</w:t>
      </w:r>
      <w:r>
        <w:rPr>
          <w:rFonts w:ascii="Times New Roman" w:cs="Times New Roman" w:eastAsia="Arial Unicode MS" w:hAnsi="Times New Roman"/>
          <w:sz w:val="20"/>
          <w:szCs w:val="20"/>
        </w:rPr>
        <w:t>), i=1, 2...n.</w:t>
      </w:r>
    </w:p>
    <w:p>
      <w:pPr>
        <w:pStyle w:val="style0"/>
        <w:autoSpaceDE w:val="false"/>
        <w:autoSpaceDN w:val="false"/>
        <w:adjustRightInd w:val="false"/>
        <w:spacing w:after="0" w:lineRule="auto" w:line="240"/>
        <w:ind w:firstLine="270" w:left="-270"/>
        <w:jc w:val="both"/>
        <w:rPr>
          <w:rFonts w:ascii="Times New Roman" w:cs="Times New Roman" w:eastAsia="Arial Unicode MS" w:hAnsi="Times New Roman"/>
          <w:sz w:val="20"/>
          <w:szCs w:val="20"/>
        </w:rPr>
      </w:pPr>
      <w:r>
        <w:rPr>
          <w:rFonts w:ascii="Times New Roman" w:cs="Times New Roman" w:eastAsia="Arial Unicode MS" w:hAnsi="Times New Roman"/>
          <w:sz w:val="20"/>
          <w:szCs w:val="20"/>
        </w:rPr>
        <w:t>Where</w:t>
      </w:r>
    </w:p>
    <w:p>
      <w:pPr>
        <w:pStyle w:val="style0"/>
        <w:autoSpaceDE w:val="false"/>
        <w:autoSpaceDN w:val="false"/>
        <w:adjustRightInd w:val="false"/>
        <w:spacing w:after="0" w:lineRule="auto" w:line="240"/>
        <w:ind w:firstLine="270" w:left="-270"/>
        <w:jc w:val="both"/>
        <w:rPr>
          <w:rFonts w:ascii="Times New Roman" w:cs="Times New Roman" w:eastAsia="Arial Unicode MS" w:hAnsi="Times New Roman"/>
          <w:sz w:val="20"/>
          <w:szCs w:val="20"/>
        </w:rPr>
      </w:pPr>
      <w:r>
        <w:rPr>
          <w:rFonts w:ascii="Times New Roman" w:cs="Times New Roman" w:eastAsia="Arial Unicode MS" w:hAnsi="Times New Roman"/>
          <w:sz w:val="20"/>
          <w:szCs w:val="20"/>
        </w:rPr>
        <w:t>t</w:t>
      </w:r>
      <w:r>
        <w:rPr>
          <w:rFonts w:ascii="Times New Roman" w:cs="Times New Roman" w:eastAsia="Arial Unicode MS" w:hAnsi="Times New Roman"/>
          <w:sz w:val="20"/>
          <w:szCs w:val="20"/>
          <w:vertAlign w:val="subscript"/>
        </w:rPr>
        <w:t>i</w:t>
      </w:r>
      <w:r>
        <w:rPr>
          <w:rFonts w:ascii="Times New Roman" w:cs="Times New Roman" w:eastAsia="Arial Unicode MS" w:hAnsi="Times New Roman"/>
          <w:sz w:val="20"/>
          <w:szCs w:val="20"/>
        </w:rPr>
        <w:t xml:space="preserve">- </w:t>
      </w:r>
      <w:r>
        <w:rPr>
          <w:rFonts w:ascii="Times New Roman" w:cs="Times New Roman" w:eastAsia="Arial Unicode MS" w:hAnsi="Times New Roman"/>
          <w:sz w:val="20"/>
          <w:szCs w:val="20"/>
        </w:rPr>
        <w:t xml:space="preserve"> the survival time for the i</w:t>
      </w:r>
      <w:r>
        <w:rPr>
          <w:rFonts w:ascii="Times New Roman" w:cs="Times New Roman" w:eastAsia="Arial Unicode MS" w:hAnsi="Times New Roman"/>
          <w:sz w:val="20"/>
          <w:szCs w:val="20"/>
          <w:vertAlign w:val="superscript"/>
        </w:rPr>
        <w:t>th</w:t>
      </w:r>
      <w:r>
        <w:rPr>
          <w:rFonts w:ascii="Times New Roman" w:cs="Times New Roman" w:eastAsia="Arial Unicode MS" w:hAnsi="Times New Roman"/>
          <w:sz w:val="20"/>
          <w:szCs w:val="20"/>
        </w:rPr>
        <w:t>individual.</w:t>
      </w:r>
    </w:p>
    <w:p>
      <w:pPr>
        <w:pStyle w:val="style0"/>
        <w:autoSpaceDE w:val="false"/>
        <w:autoSpaceDN w:val="false"/>
        <w:adjustRightInd w:val="false"/>
        <w:spacing w:after="0" w:lineRule="auto" w:line="240"/>
        <w:ind w:firstLine="270" w:left="-270"/>
        <w:jc w:val="both"/>
        <w:rPr>
          <w:rFonts w:ascii="Times New Roman" w:cs="Times New Roman" w:eastAsia="Arial Unicode MS" w:hAnsi="Times New Roman"/>
          <w:sz w:val="20"/>
          <w:szCs w:val="20"/>
        </w:rPr>
      </w:pPr>
      <w:r>
        <w:rPr>
          <w:rFonts w:ascii="Times New Roman" w:cs="Times New Roman" w:eastAsia="Arial Unicode MS" w:hAnsi="Times New Roman"/>
          <w:sz w:val="20"/>
          <w:szCs w:val="20"/>
        </w:rPr>
        <w:t>δ</w:t>
      </w:r>
      <w:r>
        <w:rPr>
          <w:rFonts w:ascii="Times New Roman" w:cs="Times New Roman" w:eastAsia="Arial Unicode MS" w:hAnsi="Times New Roman"/>
          <w:sz w:val="20"/>
          <w:szCs w:val="20"/>
          <w:vertAlign w:val="subscript"/>
        </w:rPr>
        <w:t>i</w:t>
      </w:r>
      <w:r>
        <w:rPr>
          <w:rFonts w:ascii="Times New Roman" w:cs="Times New Roman" w:eastAsia="Arial Unicode MS" w:hAnsi="Times New Roman"/>
          <w:sz w:val="20"/>
          <w:szCs w:val="20"/>
        </w:rPr>
        <w:t xml:space="preserve">- </w:t>
      </w:r>
      <w:r>
        <w:rPr>
          <w:rFonts w:ascii="Times New Roman" w:cs="Times New Roman" w:hAnsi="Times New Roman"/>
          <w:sz w:val="20"/>
          <w:szCs w:val="20"/>
        </w:rPr>
        <w:t xml:space="preserve">an indicator of censoring for the </w:t>
      </w:r>
      <w:r>
        <w:rPr>
          <w:rFonts w:ascii="Times New Roman" w:cs="Times New Roman" w:eastAsia="Arial Unicode MS" w:hAnsi="Times New Roman"/>
          <w:sz w:val="20"/>
          <w:szCs w:val="20"/>
        </w:rPr>
        <w:t>i</w:t>
      </w:r>
      <w:r>
        <w:rPr>
          <w:rFonts w:ascii="Times New Roman" w:cs="Times New Roman" w:eastAsia="Arial Unicode MS" w:hAnsi="Times New Roman"/>
          <w:sz w:val="20"/>
          <w:szCs w:val="20"/>
          <w:vertAlign w:val="superscript"/>
        </w:rPr>
        <w:t>th</w:t>
      </w:r>
      <w:r>
        <w:rPr>
          <w:rFonts w:ascii="Times New Roman" w:cs="Times New Roman" w:hAnsi="Times New Roman"/>
          <w:sz w:val="20"/>
          <w:szCs w:val="20"/>
        </w:rPr>
        <w:t xml:space="preserve">individual. </w:t>
      </w:r>
      <w:r>
        <w:rPr>
          <w:rFonts w:ascii="Times New Roman" w:cs="Times New Roman" w:hAnsi="Times New Roman"/>
          <w:sz w:val="20"/>
          <w:szCs w:val="20"/>
        </w:rPr>
        <w:t>Given</w:t>
      </w:r>
      <w:r>
        <w:rPr>
          <w:rFonts w:ascii="Times New Roman" w:cs="Times New Roman" w:hAnsi="Times New Roman"/>
          <w:sz w:val="20"/>
          <w:szCs w:val="20"/>
        </w:rPr>
        <w:t xml:space="preserve"> by </w:t>
      </w:r>
      <w:r>
        <w:rPr>
          <w:rFonts w:ascii="Times New Roman" w:cs="Times New Roman" w:hAnsi="Times New Roman"/>
          <w:sz w:val="20"/>
          <w:szCs w:val="20"/>
        </w:rPr>
        <w:t>i=</w:t>
      </w:r>
      <w:r>
        <w:rPr>
          <w:rFonts w:ascii="Times New Roman" w:cs="Times New Roman" w:hAnsi="Times New Roman"/>
          <w:sz w:val="20"/>
          <w:szCs w:val="20"/>
        </w:rPr>
        <w:t>0 for censored and</w:t>
      </w:r>
      <w:r>
        <w:rPr>
          <w:rFonts w:ascii="Times New Roman" w:cs="Times New Roman" w:hAnsi="Times New Roman"/>
          <w:sz w:val="20"/>
          <w:szCs w:val="20"/>
        </w:rPr>
        <w:t xml:space="preserve"> i=</w:t>
      </w:r>
      <w:r>
        <w:rPr>
          <w:rFonts w:ascii="Times New Roman" w:cs="Times New Roman" w:hAnsi="Times New Roman"/>
          <w:sz w:val="20"/>
          <w:szCs w:val="20"/>
        </w:rPr>
        <w:t xml:space="preserve"> 1 for event experience</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eastAsia="Arial Unicode MS" w:hAnsi="Times New Roman"/>
          <w:b/>
          <w:sz w:val="20"/>
          <w:szCs w:val="20"/>
        </w:rPr>
        <w:t>X</w:t>
      </w:r>
      <w:r>
        <w:rPr>
          <w:rFonts w:ascii="Times New Roman" w:cs="Times New Roman" w:eastAsia="Arial Unicode MS" w:hAnsi="Times New Roman"/>
          <w:b/>
          <w:sz w:val="20"/>
          <w:szCs w:val="20"/>
          <w:vertAlign w:val="subscript"/>
        </w:rPr>
        <w:t>i</w:t>
      </w:r>
      <w:r>
        <w:rPr>
          <w:rFonts w:ascii="Times New Roman" w:cs="Times New Roman" w:hAnsi="Times New Roman"/>
          <w:sz w:val="20"/>
          <w:szCs w:val="20"/>
        </w:rPr>
        <w:t xml:space="preserve"> = (</w:t>
      </w:r>
      <w:r>
        <w:rPr>
          <w:rFonts w:ascii="Times New Roman" w:cs="Times New Roman" w:eastAsia="Arial Unicode MS" w:hAnsi="Times New Roman"/>
          <w:sz w:val="20"/>
          <w:szCs w:val="20"/>
        </w:rPr>
        <w:t>X</w:t>
      </w:r>
      <w:r>
        <w:rPr>
          <w:rFonts w:ascii="Times New Roman" w:cs="Times New Roman" w:eastAsia="Arial Unicode MS" w:hAnsi="Times New Roman"/>
          <w:sz w:val="20"/>
          <w:szCs w:val="20"/>
          <w:vertAlign w:val="subscript"/>
        </w:rPr>
        <w:t xml:space="preserve">i1, </w:t>
      </w:r>
      <w:r>
        <w:rPr>
          <w:rFonts w:ascii="Times New Roman" w:cs="Times New Roman" w:eastAsia="Arial Unicode MS" w:hAnsi="Times New Roman"/>
          <w:sz w:val="20"/>
          <w:szCs w:val="20"/>
        </w:rPr>
        <w:t>X</w:t>
      </w:r>
      <w:r>
        <w:rPr>
          <w:rFonts w:ascii="Times New Roman" w:cs="Times New Roman" w:eastAsia="Arial Unicode MS" w:hAnsi="Times New Roman"/>
          <w:sz w:val="20"/>
          <w:szCs w:val="20"/>
          <w:vertAlign w:val="subscript"/>
        </w:rPr>
        <w:t>i2...</w:t>
      </w:r>
      <w:r>
        <w:rPr>
          <w:rFonts w:ascii="Times New Roman" w:cs="Times New Roman" w:eastAsia="Arial Unicode MS" w:hAnsi="Times New Roman"/>
          <w:sz w:val="20"/>
          <w:szCs w:val="20"/>
        </w:rPr>
        <w:t>X</w:t>
      </w:r>
      <w:r>
        <w:rPr>
          <w:rFonts w:ascii="Times New Roman" w:cs="Times New Roman" w:eastAsia="Arial Unicode MS" w:hAnsi="Times New Roman"/>
          <w:sz w:val="20"/>
          <w:szCs w:val="20"/>
          <w:vertAlign w:val="subscript"/>
        </w:rPr>
        <w:t>im</w:t>
      </w:r>
      <w:r>
        <w:rPr>
          <w:rFonts w:ascii="Times New Roman" w:cs="Times New Roman" w:eastAsia="Arial Unicode MS" w:hAnsi="Times New Roman"/>
          <w:sz w:val="20"/>
          <w:szCs w:val="20"/>
        </w:rPr>
        <w:t>)</w:t>
      </w:r>
      <w:r>
        <w:rPr>
          <w:rFonts w:ascii="Times New Roman" w:cs="Times New Roman" w:eastAsia="Arial Unicode MS"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column vector of m covariates for individual i.</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full likelihood function for right censored data can be constructed as:</w:t>
      </w: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Where,</w:t>
      </w:r>
      <w:r>
        <w:rPr>
          <w:rFonts w:ascii="Times New Roman" w:cs="Times New Roman" w:hAnsi="Times New Roman"/>
          <w:sz w:val="20"/>
          <w:szCs w:val="20"/>
        </w:rPr>
        <w:t>=</w:t>
      </w:r>
      <w:r>
        <w:rPr>
          <w:rFonts w:ascii="Times New Roman" w:cs="Times New Roman" w:hAnsi="Times New Roman"/>
          <w:sz w:val="20"/>
          <w:szCs w:val="20"/>
        </w:rPr>
        <w:t xml:space="preserve"> is the hazard function for the i</w:t>
      </w:r>
      <w:r>
        <w:rPr>
          <w:rFonts w:ascii="Times New Roman" w:cs="Times New Roman" w:hAnsi="Times New Roman"/>
          <w:sz w:val="20"/>
          <w:szCs w:val="20"/>
          <w:vertAlign w:val="superscript"/>
        </w:rPr>
        <w:t>th</w:t>
      </w:r>
      <w:r>
        <w:rPr>
          <w:rFonts w:ascii="Times New Roman" w:cs="Times New Roman" w:hAnsi="Times New Roman"/>
          <w:sz w:val="20"/>
          <w:szCs w:val="20"/>
        </w:rPr>
        <w:t xml:space="preserve"> individual.</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 </w:t>
      </w:r>
      <w:r>
        <w:rPr>
          <w:rFonts w:ascii="Times New Roman" w:cs="Times New Roman" w:hAnsi="Times New Roman"/>
          <w:sz w:val="20"/>
          <w:szCs w:val="20"/>
        </w:rPr>
        <w:t xml:space="preserve"> is the survival function for the i</w:t>
      </w:r>
      <w:r>
        <w:rPr>
          <w:rFonts w:ascii="Times New Roman" w:cs="Times New Roman" w:hAnsi="Times New Roman"/>
          <w:sz w:val="20"/>
          <w:szCs w:val="20"/>
          <w:vertAlign w:val="superscript"/>
        </w:rPr>
        <w:t>th</w:t>
      </w:r>
      <w:r>
        <w:rPr>
          <w:rFonts w:ascii="Times New Roman" w:cs="Times New Roman" w:hAnsi="Times New Roman"/>
          <w:sz w:val="20"/>
          <w:szCs w:val="20"/>
        </w:rPr>
        <w:t xml:space="preserve"> individual.  It follows that</w:t>
      </w:r>
      <w:r>
        <w:rPr>
          <w:rFonts w:ascii="Times New Roman" w:cs="Times New Roman" w:hAnsi="Times New Roman"/>
          <w:sz w:val="20"/>
          <w:szCs w:val="20"/>
        </w:rPr>
        <w:t>,</w:t>
      </w:r>
      <w:r>
        <w:rPr>
          <w:rFonts w:ascii="Times New Roman" w:cs="Times New Roman" w:hAnsi="Times New Roman"/>
          <w:sz w:val="20"/>
          <w:szCs w:val="20"/>
        </w:rPr>
        <w:br/>
      </w: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full maximum likelihood estimator of </w:t>
      </w:r>
      <w:r>
        <w:rPr>
          <w:rFonts w:ascii="Times New Roman" w:cs="Times New Roman" w:hAnsi="Times New Roman"/>
          <w:b/>
          <w:sz w:val="20"/>
          <w:szCs w:val="20"/>
        </w:rPr>
        <w:t>β</w:t>
      </w:r>
      <w:r>
        <w:rPr>
          <w:rFonts w:ascii="Times New Roman" w:cs="Times New Roman" w:hAnsi="Times New Roman"/>
          <w:sz w:val="20"/>
          <w:szCs w:val="20"/>
        </w:rPr>
        <w:t xml:space="preserve"> can be obtained by differentiating the r</w:t>
      </w:r>
      <w:r>
        <w:rPr>
          <w:rFonts w:ascii="Times New Roman" w:cs="Times New Roman" w:hAnsi="Times New Roman"/>
          <w:sz w:val="20"/>
          <w:szCs w:val="20"/>
        </w:rPr>
        <w:t>ight hand side of equation (3.20</w:t>
      </w:r>
      <w:r>
        <w:rPr>
          <w:rFonts w:ascii="Times New Roman" w:cs="Times New Roman" w:hAnsi="Times New Roman"/>
          <w:sz w:val="20"/>
          <w:szCs w:val="20"/>
        </w:rPr>
        <w:t xml:space="preserve">) with respect to the components of </w:t>
      </w:r>
      <w:r>
        <w:rPr>
          <w:rFonts w:ascii="Times New Roman" w:cs="Times New Roman" w:eastAsia="SymbolMT" w:hAnsi="Times New Roman"/>
          <w:b/>
          <w:sz w:val="20"/>
          <w:szCs w:val="20"/>
        </w:rPr>
        <w:t>β</w:t>
      </w:r>
      <w:r>
        <w:rPr>
          <w:rFonts w:ascii="Times New Roman" w:cs="Times New Roman" w:hAnsi="Times New Roman"/>
          <w:sz w:val="20"/>
          <w:szCs w:val="20"/>
        </w:rPr>
        <w:t>and the base line hazard</w:t>
      </w:r>
      <w:r>
        <w:rPr>
          <w:rFonts w:ascii="Times New Roman" w:cs="Times New Roman" w:hAnsi="Times New Roman"/>
          <w:sz w:val="20"/>
          <w:szCs w:val="20"/>
        </w:rPr>
        <w:t xml:space="preserve">, </w:t>
      </w:r>
      <w:r>
        <w:rPr>
          <w:rFonts w:ascii="Times New Roman" w:cs="Times New Roman" w:hAnsi="Times New Roman"/>
          <w:sz w:val="20"/>
          <w:szCs w:val="20"/>
        </w:rPr>
        <w:t>.</w:t>
      </w:r>
    </w:p>
    <w:p>
      <w:pPr>
        <w:pStyle w:val="style0"/>
        <w:autoSpaceDE w:val="false"/>
        <w:autoSpaceDN w:val="false"/>
        <w:adjustRightInd w:val="false"/>
        <w:spacing w:before="120"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This implies that unless we explicitly specify the base line hazard</w:t>
      </w:r>
      <w:r>
        <w:rPr>
          <w:rFonts w:ascii="Times New Roman" w:cs="Times New Roman" w:hAnsi="Times New Roman"/>
          <w:sz w:val="20"/>
          <w:szCs w:val="20"/>
        </w:rPr>
        <w:t>, we cannot obtain the maximum likelihood estimators for the full likelihood. To avoid the specification of the base line hazard, Cox (1972) proposed a partial likelihood approach that treats the baseline ha</w:t>
      </w:r>
      <w:r>
        <w:rPr>
          <w:rFonts w:ascii="Times New Roman" w:cs="Times New Roman" w:hAnsi="Times New Roman"/>
          <w:sz w:val="20"/>
          <w:szCs w:val="20"/>
        </w:rPr>
        <w:t>zard as a nuisance parameter remove</w:t>
      </w:r>
      <w:r>
        <w:rPr>
          <w:rFonts w:ascii="Times New Roman" w:cs="Times New Roman" w:hAnsi="Times New Roman"/>
          <w:sz w:val="20"/>
          <w:szCs w:val="20"/>
        </w:rPr>
        <w:t xml:space="preserve"> it from the estimating equation</w:t>
      </w:r>
      <w:r>
        <w:rPr>
          <w:rFonts w:ascii="Times New Roman" w:cs="Times New Roman" w:hAnsi="Times New Roman"/>
          <w:sz w:val="20"/>
          <w:szCs w:val="20"/>
        </w:rPr>
        <w:t>.</w:t>
      </w:r>
    </w:p>
    <w:p>
      <w:pPr>
        <w:pStyle w:val="style0"/>
        <w:autoSpaceDE w:val="false"/>
        <w:autoSpaceDN w:val="false"/>
        <w:adjustRightInd w:val="false"/>
        <w:spacing w:before="240" w:lineRule="auto" w:line="240"/>
        <w:ind w:firstLine="270" w:left="-270"/>
        <w:jc w:val="both"/>
        <w:rPr>
          <w:rFonts w:ascii="Times New Roman" w:cs="Times New Roman" w:hAnsi="Times New Roman"/>
          <w:b/>
          <w:sz w:val="20"/>
          <w:szCs w:val="20"/>
        </w:rPr>
      </w:pPr>
      <w:r>
        <w:rPr>
          <w:rFonts w:ascii="Times New Roman" w:cs="Times New Roman" w:hAnsi="Times New Roman"/>
          <w:b/>
          <w:sz w:val="20"/>
          <w:szCs w:val="20"/>
        </w:rPr>
        <w:t xml:space="preserve">                      </w:t>
      </w:r>
      <w:r>
        <w:rPr>
          <w:rFonts w:ascii="Times New Roman" w:cs="Times New Roman" w:hAnsi="Times New Roman"/>
          <w:b/>
          <w:sz w:val="20"/>
          <w:szCs w:val="20"/>
        </w:rPr>
        <w:t>Partial Likelihood Estimation</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Instead of constructing a full likelihood, we consider the probability that an individual experiences an event at time t</w:t>
      </w:r>
      <w:r>
        <w:rPr>
          <w:rFonts w:ascii="Times New Roman" w:cs="Times New Roman" w:hAnsi="Times New Roman"/>
          <w:sz w:val="20"/>
          <w:szCs w:val="20"/>
          <w:vertAlign w:val="subscript"/>
        </w:rPr>
        <w:t>(i)</w:t>
      </w:r>
      <w:r>
        <w:rPr>
          <w:rFonts w:ascii="Times New Roman" w:cs="Times New Roman" w:hAnsi="Times New Roman"/>
          <w:sz w:val="20"/>
          <w:szCs w:val="20"/>
          <w:vertAlign w:val="subscript"/>
        </w:rPr>
        <w:t xml:space="preserve"> </w:t>
      </w:r>
      <w:r>
        <w:rPr>
          <w:rFonts w:ascii="Times New Roman" w:cs="Times New Roman" w:hAnsi="Times New Roman"/>
          <w:sz w:val="20"/>
          <w:szCs w:val="20"/>
        </w:rPr>
        <w:t>given that an event occurred at that time.Suppose that data are available for n individuals, amongst them there are r distinct failure times and n - r right-censored survival times, and assume that only one individual was died at each ordered failure time, so that there are no ties. The r ordered failure times will be denoted by t</w:t>
      </w:r>
      <w:r>
        <w:rPr>
          <w:rFonts w:ascii="Times New Roman" w:cs="Times New Roman" w:hAnsi="Times New Roman"/>
          <w:sz w:val="20"/>
          <w:szCs w:val="20"/>
          <w:vertAlign w:val="subscript"/>
        </w:rPr>
        <w:t>(1)</w:t>
      </w:r>
      <w:r>
        <w:rPr>
          <w:rFonts w:ascii="Times New Roman" w:cs="Times New Roman" w:hAnsi="Times New Roman"/>
          <w:sz w:val="20"/>
          <w:szCs w:val="20"/>
        </w:rPr>
        <w:t>&lt;t</w:t>
      </w:r>
      <w:r>
        <w:rPr>
          <w:rFonts w:ascii="Times New Roman" w:cs="Times New Roman" w:hAnsi="Times New Roman"/>
          <w:sz w:val="20"/>
          <w:szCs w:val="20"/>
          <w:vertAlign w:val="subscript"/>
        </w:rPr>
        <w:t>(2)</w:t>
      </w:r>
      <w:r>
        <w:rPr>
          <w:rFonts w:ascii="Times New Roman" w:cs="Times New Roman" w:hAnsi="Times New Roman"/>
          <w:sz w:val="20"/>
          <w:szCs w:val="20"/>
        </w:rPr>
        <w:t>&lt;….&lt; t</w:t>
      </w:r>
      <w:r>
        <w:rPr>
          <w:rFonts w:ascii="Times New Roman" w:cs="Times New Roman" w:hAnsi="Times New Roman"/>
          <w:sz w:val="20"/>
          <w:szCs w:val="20"/>
          <w:vertAlign w:val="subscript"/>
        </w:rPr>
        <w:t>(r)</w:t>
      </w:r>
      <w:r>
        <w:rPr>
          <w:rFonts w:ascii="Times New Roman" w:cs="Times New Roman" w:hAnsi="Times New Roman"/>
          <w:sz w:val="20"/>
          <w:szCs w:val="20"/>
        </w:rPr>
        <w:t>, so that t</w:t>
      </w:r>
      <w:r>
        <w:rPr>
          <w:rFonts w:ascii="Times New Roman" w:cs="Times New Roman" w:hAnsi="Times New Roman"/>
          <w:sz w:val="20"/>
          <w:szCs w:val="20"/>
          <w:vertAlign w:val="subscript"/>
        </w:rPr>
        <w:t>(i)</w:t>
      </w:r>
      <w:r>
        <w:rPr>
          <w:rFonts w:ascii="Times New Roman" w:cs="Times New Roman" w:hAnsi="Times New Roman"/>
          <w:sz w:val="20"/>
          <w:szCs w:val="20"/>
        </w:rPr>
        <w:t xml:space="preserve"> is the i</w:t>
      </w:r>
      <w:r>
        <w:rPr>
          <w:rFonts w:ascii="Times New Roman" w:cs="Times New Roman" w:hAnsi="Times New Roman"/>
          <w:sz w:val="20"/>
          <w:szCs w:val="20"/>
          <w:vertAlign w:val="superscript"/>
        </w:rPr>
        <w:t>th</w:t>
      </w:r>
      <w:r>
        <w:rPr>
          <w:rFonts w:ascii="Times New Roman" w:cs="Times New Roman" w:hAnsi="Times New Roman"/>
          <w:sz w:val="20"/>
          <w:szCs w:val="20"/>
        </w:rPr>
        <w:t>ordered failure time. The set of individuals who are at risk at time t</w:t>
      </w:r>
      <w:r>
        <w:rPr>
          <w:rFonts w:ascii="Times New Roman" w:cs="Times New Roman" w:hAnsi="Times New Roman"/>
          <w:sz w:val="20"/>
          <w:szCs w:val="20"/>
          <w:vertAlign w:val="subscript"/>
        </w:rPr>
        <w:t>(i)</w:t>
      </w:r>
      <w:r>
        <w:rPr>
          <w:rFonts w:ascii="Times New Roman" w:cs="Times New Roman" w:hAnsi="Times New Roman"/>
          <w:sz w:val="20"/>
          <w:szCs w:val="20"/>
        </w:rPr>
        <w:t xml:space="preserve"> is the i</w:t>
      </w:r>
      <w:r>
        <w:rPr>
          <w:rFonts w:ascii="Times New Roman" w:cs="Times New Roman" w:hAnsi="Times New Roman"/>
          <w:sz w:val="20"/>
          <w:szCs w:val="20"/>
          <w:vertAlign w:val="superscript"/>
        </w:rPr>
        <w:t>th</w:t>
      </w:r>
      <w:r>
        <w:rPr>
          <w:rFonts w:ascii="Times New Roman" w:cs="Times New Roman" w:hAnsi="Times New Roman"/>
          <w:sz w:val="20"/>
          <w:szCs w:val="20"/>
        </w:rPr>
        <w:t xml:space="preserve"> ordered failure (experiences an event)  time, and denoted by R (t</w:t>
      </w:r>
      <w:r>
        <w:rPr>
          <w:rFonts w:ascii="Times New Roman" w:cs="Times New Roman" w:hAnsi="Times New Roman"/>
          <w:sz w:val="20"/>
          <w:szCs w:val="20"/>
          <w:vertAlign w:val="subscript"/>
        </w:rPr>
        <w:t>(i)</w:t>
      </w:r>
      <w:r>
        <w:rPr>
          <w:rFonts w:ascii="Times New Roman" w:cs="Times New Roman" w:hAnsi="Times New Roman"/>
          <w:sz w:val="20"/>
          <w:szCs w:val="20"/>
        </w:rPr>
        <w:t xml:space="preserve">). And let </w:t>
      </w:r>
      <w:r>
        <w:rPr>
          <w:rFonts w:ascii="Times New Roman" w:cs="Times New Roman" w:hAnsi="Times New Roman"/>
          <w:b/>
          <w:sz w:val="20"/>
          <w:szCs w:val="20"/>
        </w:rPr>
        <w:t>X</w:t>
      </w:r>
      <w:r>
        <w:rPr>
          <w:rFonts w:ascii="Times New Roman" w:cs="Times New Roman" w:hAnsi="Times New Roman"/>
          <w:sz w:val="20"/>
          <w:szCs w:val="20"/>
          <w:vertAlign w:val="subscript"/>
        </w:rPr>
        <w:t>(i)</w:t>
      </w:r>
      <w:r>
        <w:rPr>
          <w:rFonts w:ascii="Times New Roman" w:cs="Times New Roman" w:hAnsi="Times New Roman"/>
          <w:sz w:val="20"/>
          <w:szCs w:val="20"/>
        </w:rPr>
        <w:t xml:space="preserve"> be the vector of explanatory variables for an individual who experiences an event  at t</w:t>
      </w:r>
      <w:r>
        <w:rPr>
          <w:rFonts w:ascii="Times New Roman" w:cs="Times New Roman" w:hAnsi="Times New Roman"/>
          <w:sz w:val="20"/>
          <w:szCs w:val="20"/>
          <w:vertAlign w:val="subscript"/>
        </w:rPr>
        <w:t>(i)</w:t>
      </w:r>
      <w:r>
        <w:rPr>
          <w:rFonts w:ascii="Times New Roman" w:cs="Times New Roman" w:hAnsi="Times New Roman"/>
          <w:sz w:val="20"/>
          <w:szCs w:val="20"/>
        </w:rPr>
        <w:t xml:space="preserve">. </w:t>
      </w:r>
    </w:p>
    <w:p>
      <w:pPr>
        <w:pStyle w:val="style0"/>
        <w:autoSpaceDE w:val="false"/>
        <w:autoSpaceDN w:val="false"/>
        <w:adjustRightInd w:val="false"/>
        <w:spacing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partial likelihood function is derived by taking the product of the conditional probability of a failure at time t</w:t>
      </w:r>
      <w:r>
        <w:rPr>
          <w:rFonts w:ascii="Times New Roman" w:cs="Times New Roman" w:hAnsi="Times New Roman"/>
          <w:sz w:val="20"/>
          <w:szCs w:val="20"/>
          <w:vertAlign w:val="subscript"/>
        </w:rPr>
        <w:t>(i)</w:t>
      </w:r>
      <w:r>
        <w:rPr>
          <w:rFonts w:ascii="Times New Roman" w:cs="Times New Roman" w:hAnsi="Times New Roman"/>
          <w:sz w:val="20"/>
          <w:szCs w:val="20"/>
        </w:rPr>
        <w:t>, given the number of individuals who are at risk of experiencing the event at time t</w:t>
      </w:r>
      <w:r>
        <w:rPr>
          <w:rFonts w:ascii="Times New Roman" w:cs="Times New Roman" w:hAnsi="Times New Roman"/>
          <w:sz w:val="20"/>
          <w:szCs w:val="20"/>
          <w:vertAlign w:val="subscript"/>
        </w:rPr>
        <w:t>(i).</w:t>
      </w:r>
      <w:r>
        <w:rPr>
          <w:rFonts w:ascii="Times New Roman" w:cs="Times New Roman" w:hAnsi="Times New Roman"/>
          <w:sz w:val="20"/>
          <w:szCs w:val="20"/>
        </w:rPr>
        <w:t>Then,</w:t>
      </w:r>
      <w:r>
        <w:rPr>
          <w:rFonts w:ascii="Times New Roman" w:cs="Times New Roman" w:hAnsi="Times New Roman"/>
          <w:sz w:val="20"/>
          <w:szCs w:val="20"/>
        </w:rPr>
        <w:br/>
      </w:r>
      <w:r>
        <w:rPr>
          <w:rFonts w:ascii="Times New Roman" w:cs="Times New Roman" w:hAnsi="Times New Roman"/>
          <w:sz w:val="20"/>
          <w:szCs w:val="20"/>
        </w:rPr>
        <w:t>P( j</w:t>
      </w:r>
      <w:r>
        <w:rPr>
          <w:rFonts w:ascii="Times New Roman" w:cs="Times New Roman" w:hAnsi="Times New Roman"/>
          <w:sz w:val="20"/>
          <w:szCs w:val="20"/>
          <w:vertAlign w:val="superscript"/>
        </w:rPr>
        <w:t>th</w:t>
      </w:r>
      <w:r>
        <w:rPr>
          <w:rFonts w:ascii="Times New Roman" w:cs="Times New Roman" w:hAnsi="Times New Roman"/>
          <w:sz w:val="20"/>
          <w:szCs w:val="20"/>
        </w:rPr>
        <w:t xml:space="preserve"> individual will experience an event at time t</w:t>
      </w:r>
      <w:r>
        <w:rPr>
          <w:rFonts w:ascii="Times New Roman" w:cs="Times New Roman" w:hAnsi="Times New Roman"/>
          <w:sz w:val="20"/>
          <w:szCs w:val="20"/>
          <w:vertAlign w:val="subscript"/>
        </w:rPr>
        <w:t>(i)</w:t>
      </w:r>
      <w:r>
        <w:rPr>
          <w:rFonts w:ascii="Times New Roman" w:cs="Times New Roman" w:hAnsi="Times New Roman"/>
          <w:sz w:val="20"/>
          <w:szCs w:val="20"/>
        </w:rPr>
        <w:t>)</w:t>
      </w:r>
      <w:r>
        <w:rPr>
          <w:rFonts w:ascii="Times New Roman" w:cs="Times New Roman" w:hAnsi="Times New Roman"/>
          <w:sz w:val="20"/>
          <w:szCs w:val="20"/>
        </w:rPr>
        <w:t xml:space="preserve">  </w:t>
      </w:r>
      <w:r>
        <w:rPr>
          <w:rFonts w:ascii="Times New Roman" w:cs="Times New Roman" w:hAnsi="Times New Roman"/>
          <w:sz w:val="20"/>
          <w:szCs w:val="20"/>
        </w:rPr>
        <w:t xml:space="preserve">                                                                </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Where, the summation in the denominator is over all individuals in the risk set. Thus the partial likelihood is the product over all event time t</w:t>
      </w:r>
      <w:r>
        <w:rPr>
          <w:rFonts w:ascii="Times New Roman" w:cs="Times New Roman" w:eastAsia="SymbolMT" w:hAnsi="Times New Roman"/>
          <w:sz w:val="20"/>
          <w:szCs w:val="20"/>
        </w:rPr>
        <w:t>(</w:t>
      </w:r>
      <w:r>
        <w:rPr>
          <w:rFonts w:ascii="Times New Roman" w:cs="Times New Roman" w:hAnsi="Times New Roman"/>
          <w:i/>
          <w:iCs/>
          <w:sz w:val="20"/>
          <w:szCs w:val="20"/>
        </w:rPr>
        <w:t>i</w:t>
      </w:r>
      <w:r>
        <w:rPr>
          <w:rFonts w:ascii="Times New Roman" w:cs="Times New Roman" w:eastAsia="SymbolMT" w:hAnsi="Times New Roman"/>
          <w:sz w:val="20"/>
          <w:szCs w:val="20"/>
        </w:rPr>
        <w:t xml:space="preserve">) </w:t>
      </w:r>
      <w:r>
        <w:rPr>
          <w:rFonts w:ascii="Times New Roman" w:cs="Times New Roman" w:hAnsi="Times New Roman"/>
          <w:sz w:val="20"/>
          <w:szCs w:val="20"/>
        </w:rPr>
        <w:t xml:space="preserve">for </w:t>
      </w:r>
      <w:r>
        <w:rPr>
          <w:rFonts w:ascii="Times New Roman" w:cs="Times New Roman" w:hAnsi="Times New Roman"/>
          <w:i/>
          <w:iCs/>
          <w:sz w:val="20"/>
          <w:szCs w:val="20"/>
        </w:rPr>
        <w:t>i</w:t>
      </w:r>
      <w:r>
        <w:rPr>
          <w:rFonts w:ascii="Times New Roman" w:cs="Times New Roman" w:eastAsia="SymbolMT" w:hAnsi="Times New Roman"/>
          <w:sz w:val="20"/>
          <w:szCs w:val="20"/>
        </w:rPr>
        <w:t xml:space="preserve">= </w:t>
      </w:r>
      <w:r>
        <w:rPr>
          <w:rFonts w:ascii="Times New Roman" w:cs="Times New Roman" w:hAnsi="Times New Roman"/>
          <w:sz w:val="20"/>
          <w:szCs w:val="20"/>
        </w:rPr>
        <w:t>1,2,...,nof t</w:t>
      </w:r>
      <w:r>
        <w:rPr>
          <w:rFonts w:ascii="Times New Roman" w:cs="Times New Roman" w:hAnsi="Times New Roman"/>
          <w:sz w:val="20"/>
          <w:szCs w:val="20"/>
        </w:rPr>
        <w:t>he conditional probability (3.21</w:t>
      </w:r>
      <w:r>
        <w:rPr>
          <w:rFonts w:ascii="Times New Roman" w:cs="Times New Roman" w:hAnsi="Times New Roman"/>
          <w:sz w:val="20"/>
          <w:szCs w:val="20"/>
        </w:rPr>
        <w:t>) to give the partial likelihood function and  can be expressed in the form</w:t>
      </w:r>
      <w:r>
        <w:rPr>
          <w:rFonts w:ascii="Times New Roman" w:cs="Times New Roman" w:hAnsi="Times New Roman"/>
          <w:sz w:val="20"/>
          <w:szCs w:val="20"/>
        </w:rPr>
        <w:t>:-</w:t>
      </w: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w:t>
      </w: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w:t>
      </w:r>
      <w:r>
        <w:rPr>
          <w:rFonts w:ascii="Times New Roman" w:cs="Times New Roman" w:hAnsi="Times New Roman"/>
          <w:sz w:val="20"/>
          <w:szCs w:val="20"/>
        </w:rPr>
        <w:t xml:space="preserve"> expression assumes that there are no tied times, and designed in such a way that it excluded</w:t>
      </w:r>
      <w:r>
        <w:rPr>
          <w:rFonts w:ascii="Times New Roman" w:cs="Times New Roman" w:hAnsi="Times New Roman"/>
          <w:sz w:val="20"/>
          <w:szCs w:val="20"/>
        </w:rPr>
        <w:t xml:space="preserve"> t</w:t>
      </w:r>
      <w:r>
        <w:rPr>
          <w:rFonts w:ascii="Times New Roman" w:cs="Times New Roman" w:hAnsi="Times New Roman"/>
          <w:sz w:val="20"/>
          <w:szCs w:val="20"/>
        </w:rPr>
        <w:t>erms when</w:t>
      </w:r>
      <w:r>
        <w:rPr>
          <w:rFonts w:ascii="Times New Roman" w:cs="Times New Roman" w:hAnsi="Times New Roman"/>
          <w:sz w:val="20"/>
          <w:szCs w:val="20"/>
        </w:rPr>
        <w:tab/>
      </w:r>
      <w:r>
        <w:rPr>
          <w:rFonts w:ascii="Symbol" w:cs="Symbol" w:hAnsi="Symbol"/>
          <w:sz w:val="20"/>
          <w:szCs w:val="20"/>
        </w:rPr>
        <w:t></w:t>
      </w:r>
      <w:r>
        <w:rPr>
          <w:rFonts w:ascii="Times New Roman" w:cs="Times New Roman" w:hAnsi="Times New Roman"/>
          <w:sz w:val="20"/>
          <w:szCs w:val="20"/>
        </w:rPr>
        <w:t>i</w:t>
      </w:r>
      <w:r>
        <w:rPr>
          <w:rFonts w:ascii="Symbol" w:cs="Symbol" w:hAnsi="Symbol"/>
          <w:sz w:val="20"/>
          <w:szCs w:val="20"/>
        </w:rPr>
        <w:t></w:t>
      </w:r>
      <w:r>
        <w:rPr>
          <w:rFonts w:ascii="Symbol" w:cs="Symbol" w:hAnsi="Symbol"/>
          <w:sz w:val="20"/>
          <w:szCs w:val="20"/>
        </w:rPr>
        <w:t></w:t>
      </w:r>
      <w:r>
        <w:rPr>
          <w:rFonts w:ascii="Times New Roman" w:cs="Times New Roman" w:hAnsi="Times New Roman"/>
          <w:sz w:val="20"/>
          <w:szCs w:val="20"/>
        </w:rPr>
        <w:t>0,</w:t>
      </w:r>
      <w:r>
        <w:rPr>
          <w:rFonts w:ascii="Times New Roman" w:cs="Times New Roman" w:hAnsi="Times New Roman"/>
          <w:sz w:val="20"/>
          <w:szCs w:val="20"/>
        </w:rPr>
        <w:tab/>
      </w:r>
      <w:r>
        <w:rPr>
          <w:rFonts w:ascii="Times New Roman" w:cs="Times New Roman" w:hAnsi="Times New Roman"/>
          <w:sz w:val="20"/>
          <w:szCs w:val="20"/>
        </w:rPr>
        <w:t>as</w:t>
      </w:r>
      <w:r>
        <w:rPr>
          <w:rFonts w:ascii="Times New Roman" w:cs="Times New Roman" w:hAnsi="Times New Roman"/>
          <w:sz w:val="20"/>
          <w:szCs w:val="20"/>
        </w:rPr>
        <w:t xml:space="preserve"> a</w:t>
      </w:r>
      <w:r>
        <w:rPr>
          <w:rFonts w:ascii="Times New Roman" w:cs="Times New Roman" w:hAnsi="Times New Roman"/>
          <w:sz w:val="20"/>
          <w:szCs w:val="20"/>
        </w:rPr>
        <w:t xml:space="preserve"> result </w:t>
      </w:r>
      <w:r>
        <w:rPr>
          <w:rFonts w:ascii="Times New Roman" w:cs="Times New Roman" w:hAnsi="Times New Roman"/>
          <w:sz w:val="20"/>
          <w:szCs w:val="20"/>
        </w:rPr>
        <w:t xml:space="preserve">the </w:t>
      </w:r>
      <w:r>
        <w:rPr>
          <w:rFonts w:ascii="Times New Roman" w:cs="Times New Roman" w:hAnsi="Times New Roman"/>
          <w:sz w:val="20"/>
          <w:szCs w:val="20"/>
        </w:rPr>
        <w:tab/>
      </w:r>
      <w:r>
        <w:rPr>
          <w:rFonts w:ascii="Times New Roman" w:cs="Times New Roman" w:hAnsi="Times New Roman"/>
          <w:sz w:val="20"/>
          <w:szCs w:val="20"/>
        </w:rPr>
        <w:t>equation in (3.22</w:t>
      </w:r>
      <w:r>
        <w:rPr>
          <w:rFonts w:ascii="Times New Roman" w:cs="Times New Roman" w:hAnsi="Times New Roman"/>
          <w:sz w:val="20"/>
          <w:szCs w:val="20"/>
        </w:rPr>
        <w:t>) becomes.The product is over the r distinct ordered survival times. The corresponding log-partial likelihood function is given by:</w:t>
      </w: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before="24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maximum likelihood estimates of the regression parameters in the proportional hazards model can be found by maximizing the log-likel</w:t>
      </w:r>
      <w:r>
        <w:rPr>
          <w:rFonts w:ascii="Times New Roman" w:cs="Times New Roman" w:hAnsi="Times New Roman"/>
          <w:sz w:val="20"/>
          <w:szCs w:val="20"/>
        </w:rPr>
        <w:t>ihood function in equation (3.23</w:t>
      </w:r>
      <w:r>
        <w:rPr>
          <w:rFonts w:ascii="Times New Roman" w:cs="Times New Roman" w:hAnsi="Times New Roman"/>
          <w:sz w:val="20"/>
          <w:szCs w:val="20"/>
        </w:rPr>
        <w:t xml:space="preserve">) using numerical methods. This maximization is accomplished using the Newton-Raphson procedure (Collett, 2003).The Newton-Raphson procedure is used to maximize the partial likelihood function based on the following iterative procedure. An estimate of the vector of </w:t>
      </w:r>
      <w:r>
        <w:rPr>
          <w:rFonts w:ascii="Times New Roman" w:cs="Times New Roman" w:hAnsi="Times New Roman"/>
          <w:b/>
          <w:sz w:val="20"/>
          <w:szCs w:val="20"/>
        </w:rPr>
        <w:t>β</w:t>
      </w:r>
      <w:r>
        <w:rPr>
          <w:rFonts w:ascii="Times New Roman" w:cs="Times New Roman" w:hAnsi="Times New Roman"/>
          <w:sz w:val="20"/>
          <w:szCs w:val="20"/>
        </w:rPr>
        <w:t xml:space="preserve">-parameters at the </w:t>
      </w:r>
      <w:r>
        <w:rPr>
          <w:rFonts w:ascii="Times New Roman" w:cs="Times New Roman" w:hAnsi="Times New Roman"/>
          <w:i/>
          <w:iCs/>
          <w:sz w:val="20"/>
          <w:szCs w:val="20"/>
        </w:rPr>
        <w:t>(s+1)</w:t>
      </w:r>
      <w:r>
        <w:rPr>
          <w:rFonts w:ascii="Times New Roman" w:cs="Times New Roman" w:hAnsi="Times New Roman"/>
          <w:i/>
          <w:iCs/>
          <w:sz w:val="20"/>
          <w:szCs w:val="20"/>
          <w:vertAlign w:val="superscript"/>
        </w:rPr>
        <w:t>th</w:t>
      </w:r>
      <w:r>
        <w:rPr>
          <w:rFonts w:ascii="Times New Roman" w:cs="Times New Roman" w:hAnsi="Times New Roman"/>
          <w:sz w:val="20"/>
          <w:szCs w:val="20"/>
        </w:rPr>
        <w:t xml:space="preserve">cycle of iterative procedure, </w:t>
      </w:r>
      <w:r>
        <w:rPr>
          <w:rFonts w:ascii="Times New Roman" w:cs="Times New Roman" w:hAnsi="Times New Roman"/>
          <w:sz w:val="20"/>
          <w:szCs w:val="20"/>
        </w:rPr>
        <w:t>, is given by:</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b/>
          <w:sz w:val="20"/>
          <w:szCs w:val="20"/>
        </w:rPr>
        <w:t>=</w:t>
      </w:r>
      <w:r>
        <w:rPr>
          <w:rFonts w:ascii="Times New Roman" w:cs="Times New Roman" w:hAnsi="Times New Roman"/>
          <w:b/>
          <w:sz w:val="20"/>
          <w:szCs w:val="20"/>
        </w:rPr>
        <w:t>+</w:t>
      </w:r>
      <w:r>
        <w:rPr>
          <w:rFonts w:ascii="Times New Roman" w:cs="Times New Roman" w:hAnsi="Times New Roman"/>
          <w:sz w:val="20"/>
          <w:szCs w:val="20"/>
        </w:rPr>
        <w:t>(</w:t>
      </w:r>
      <w:r>
        <w:rPr>
          <w:rFonts w:ascii="Times New Roman" w:cs="Times New Roman" w:hAnsi="Times New Roman"/>
          <w:sz w:val="20"/>
          <w:szCs w:val="20"/>
        </w:rPr>
        <w:t>)</w:t>
      </w:r>
      <w:r>
        <w:rPr>
          <w:rFonts w:ascii="Times New Roman" w:cs="Times New Roman" w:hAnsi="Times New Roman"/>
          <w:b/>
          <w:sz w:val="20"/>
          <w:szCs w:val="20"/>
        </w:rPr>
        <w:t>U</w:t>
      </w:r>
      <w:r>
        <w:rPr>
          <w:rFonts w:ascii="Times New Roman" w:cs="Times New Roman" w:hAnsi="Times New Roman"/>
          <w:sz w:val="20"/>
          <w:szCs w:val="20"/>
        </w:rPr>
        <w:t>(</w:t>
      </w:r>
      <w:r>
        <w:rPr>
          <w:rFonts w:ascii="Times New Roman" w:cs="Times New Roman" w:hAnsi="Times New Roman"/>
          <w:sz w:val="20"/>
          <w:szCs w:val="20"/>
        </w:rPr>
        <w:t xml:space="preserve">), for s = 0, 1, 2, ......        </w:t>
      </w:r>
    </w:p>
    <w:p>
      <w:pPr>
        <w:pStyle w:val="style0"/>
        <w:autoSpaceDE w:val="false"/>
        <w:autoSpaceDN w:val="false"/>
        <w:adjustRightInd w:val="false"/>
        <w:spacing w:before="24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Where </w:t>
      </w:r>
      <w:r>
        <w:rPr>
          <w:rFonts w:ascii="Times New Roman" w:cs="Times New Roman" w:hAnsi="Times New Roman"/>
          <w:b/>
          <w:sz w:val="20"/>
          <w:szCs w:val="20"/>
        </w:rPr>
        <w:t>U</w:t>
      </w:r>
      <w:r>
        <w:rPr>
          <w:rFonts w:ascii="Times New Roman" w:cs="Times New Roman" w:hAnsi="Times New Roman"/>
          <w:sz w:val="20"/>
          <w:szCs w:val="20"/>
        </w:rPr>
        <w:t>(</w:t>
      </w:r>
      <w:r>
        <w:rPr>
          <w:rFonts w:ascii="Times New Roman" w:cs="Times New Roman" w:hAnsi="Times New Roman"/>
          <w:sz w:val="20"/>
          <w:szCs w:val="20"/>
        </w:rPr>
        <w:t xml:space="preserve">is the </w:t>
      </w:r>
      <w:r>
        <w:rPr>
          <w:rFonts w:ascii="Times New Roman" w:cs="Times New Roman" w:hAnsi="Times New Roman"/>
          <w:sz w:val="20"/>
          <w:szCs w:val="20"/>
        </w:rPr>
        <w:t>vector of first derivatives of the log-likelihood function in equation (3.2</w:t>
      </w:r>
      <w:r>
        <w:rPr>
          <w:rFonts w:ascii="Times New Roman" w:cs="Times New Roman" w:hAnsi="Times New Roman"/>
          <w:sz w:val="20"/>
          <w:szCs w:val="20"/>
        </w:rPr>
        <w:t>3</w:t>
      </w:r>
      <w:r>
        <w:rPr>
          <w:rFonts w:ascii="Times New Roman" w:cs="Times New Roman" w:hAnsi="Times New Roman"/>
          <w:sz w:val="20"/>
          <w:szCs w:val="20"/>
        </w:rPr>
        <w:t xml:space="preserve">) with respect to the </w:t>
      </w:r>
      <w:r>
        <w:rPr>
          <w:rFonts w:ascii="Times New Roman" w:cs="Times New Roman" w:hAnsi="Times New Roman"/>
          <w:b/>
          <w:sz w:val="20"/>
          <w:szCs w:val="20"/>
        </w:rPr>
        <w:t>β</w:t>
      </w:r>
      <w:r>
        <w:rPr>
          <w:rFonts w:ascii="Times New Roman" w:cs="Times New Roman" w:hAnsi="Times New Roman"/>
          <w:sz w:val="20"/>
          <w:szCs w:val="20"/>
        </w:rPr>
        <w:t xml:space="preserve">-parameters and this quantity known as the vector of efficient scores evaluated at </w:t>
      </w:r>
      <w:r>
        <w:rPr>
          <w:rFonts w:ascii="Times New Roman" w:cs="Times New Roman" w:hAnsi="Times New Roman"/>
          <w:sz w:val="20"/>
          <w:szCs w:val="20"/>
        </w:rPr>
        <w:t>.</w:t>
      </w:r>
      <w:r>
        <w:rPr>
          <w:rFonts w:ascii="Times New Roman" w:cs="Times New Roman" w:hAnsi="Times New Roman"/>
          <w:sz w:val="20"/>
          <w:szCs w:val="20"/>
        </w:rPr>
        <w:t xml:space="preserve">isthe </w:t>
      </w:r>
      <w:r>
        <w:rPr>
          <w:rFonts w:ascii="Times New Roman" w:cs="Times New Roman" w:hAnsi="Times New Roman"/>
          <w:sz w:val="20"/>
          <w:szCs w:val="20"/>
        </w:rPr>
        <w:t xml:space="preserve"> matrix and known as observed information matrix. </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isthe inverse of the observed information matrix evaluated at </w:t>
      </w:r>
      <w:r>
        <w:rPr>
          <w:rFonts w:ascii="Times New Roman" w:cs="Times New Roman" w:hAnsi="Times New Roman"/>
          <w:sz w:val="20"/>
          <w:szCs w:val="20"/>
        </w:rPr>
        <w:t xml:space="preserve">isthe variance-covariance matrix of </w:t>
      </w:r>
      <w:r>
        <w:rPr>
          <w:rFonts w:ascii="Times New Roman" w:cs="Times New Roman" w:hAnsi="Times New Roman"/>
          <w:sz w:val="20"/>
          <w:szCs w:val="20"/>
        </w:rPr>
        <w:t xml:space="preserve">can be approximated by the inverse of the information matrix evaluated at </w:t>
      </w:r>
      <w:r>
        <w:rPr>
          <w:rFonts w:ascii="Times New Roman" w:cs="Times New Roman" w:hAnsi="Times New Roman"/>
          <w:sz w:val="20"/>
          <w:szCs w:val="20"/>
        </w:rPr>
        <w:t xml:space="preserve"> i.e. </w:t>
      </w:r>
      <w:r>
        <w:rPr>
          <w:rFonts w:ascii="Times New Roman" w:cs="Times New Roman" w:hAnsi="Times New Roman"/>
          <w:sz w:val="20"/>
          <w:szCs w:val="20"/>
        </w:rPr>
        <w:t>(</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partial likelihood derived above is valid when there are no ties in the data set. But in most real situations tied survival times are more likely to occur. In addition to the possibility of more than one experience an event at a time, there might also be more than one censored observations at a time of event. To handle this real-world fact, partial likelihood algorithms have been adopted to handle ties.There are three approaches commonly used to estimate regression parameters when there are ties.These a</w:t>
      </w:r>
      <w:r>
        <w:rPr>
          <w:rFonts w:ascii="Times New Roman" w:cs="Times New Roman" w:hAnsi="Times New Roman"/>
          <w:sz w:val="20"/>
          <w:szCs w:val="20"/>
        </w:rPr>
        <w:t>re Breslow (1974), Efron (1977)</w:t>
      </w:r>
      <w:r>
        <w:rPr>
          <w:rFonts w:ascii="Times New Roman" w:cs="Times New Roman" w:hAnsi="Times New Roman"/>
          <w:sz w:val="20"/>
          <w:szCs w:val="20"/>
        </w:rPr>
        <w:t xml:space="preserve"> and Cox (1972) approximations (Collett, 2003).The most popular and easy approach is Breslow’s approximation. In many applied settings there will be little or no practical difference among the estimators obtained from the three approximations. Because of this, and since the Breslow approximation is more c</w:t>
      </w:r>
      <w:r>
        <w:rPr>
          <w:rFonts w:ascii="Times New Roman" w:cs="Times New Roman" w:hAnsi="Times New Roman"/>
          <w:sz w:val="20"/>
          <w:szCs w:val="20"/>
        </w:rPr>
        <w:t>ommonly available,</w:t>
      </w:r>
      <w:r>
        <w:rPr>
          <w:rFonts w:ascii="Times New Roman" w:cs="Times New Roman" w:hAnsi="Times New Roman"/>
          <w:sz w:val="20"/>
          <w:szCs w:val="20"/>
        </w:rPr>
        <w:t xml:space="preserve"> otherwise, analysis</w:t>
      </w:r>
      <w:r>
        <w:rPr>
          <w:rFonts w:ascii="Times New Roman" w:cs="Times New Roman" w:hAnsi="Times New Roman"/>
          <w:sz w:val="20"/>
          <w:szCs w:val="20"/>
        </w:rPr>
        <w:t xml:space="preserve"> presented in this study was</w:t>
      </w:r>
      <w:r>
        <w:rPr>
          <w:rFonts w:ascii="Times New Roman" w:cs="Times New Roman" w:hAnsi="Times New Roman"/>
          <w:sz w:val="20"/>
          <w:szCs w:val="20"/>
        </w:rPr>
        <w:t xml:space="preserve"> based on it.</w:t>
      </w:r>
    </w:p>
    <w:bookmarkStart w:id="164" w:name="_Toc450285320"/>
    <w:bookmarkStart w:id="165" w:name="_Toc450288330"/>
    <w:bookmarkStart w:id="166" w:name="_Toc450292779"/>
    <w:bookmarkStart w:id="167" w:name="_Toc450294506"/>
    <w:bookmarkStart w:id="168" w:name="_Toc450294889"/>
    <w:bookmarkStart w:id="169" w:name="_Toc450724154"/>
    <w:bookmarkStart w:id="170" w:name="_Toc450724399"/>
    <w:bookmarkStart w:id="171" w:name="_Toc451494709"/>
    <w:bookmarkStart w:id="172" w:name="_Toc451496303"/>
    <w:bookmarkStart w:id="173" w:name="_Toc451496806"/>
    <w:bookmarkStart w:id="174" w:name="_Toc451522845"/>
    <w:bookmarkStart w:id="175" w:name="_Toc451742092"/>
    <w:bookmarkStart w:id="176" w:name="_Toc451742833"/>
    <w:bookmarkStart w:id="177" w:name="_Toc452191094"/>
    <w:bookmarkStart w:id="178" w:name="_Toc452191643"/>
    <w:bookmarkStart w:id="179" w:name="_Toc452195064"/>
    <w:bookmarkStart w:id="180" w:name="_Toc414498721"/>
    <w:p>
      <w:pPr>
        <w:pStyle w:val="style3"/>
        <w:spacing w:after="240" w:lineRule="auto" w:line="240"/>
        <w:ind w:firstLine="270" w:left="-270" w:right="144"/>
        <w:rPr>
          <w:rFonts w:cs="Times New Roman"/>
          <w:sz w:val="20"/>
          <w:szCs w:val="20"/>
        </w:rPr>
      </w:pPr>
      <w:r>
        <w:rPr>
          <w:rFonts w:cs="Times New Roman"/>
          <w:sz w:val="20"/>
          <w:szCs w:val="20"/>
        </w:rPr>
        <w:t xml:space="preserve">                 </w:t>
      </w:r>
      <w:r>
        <w:rPr>
          <w:rFonts w:cs="Times New Roman"/>
          <w:sz w:val="20"/>
          <w:szCs w:val="20"/>
        </w:rPr>
        <w:t xml:space="preserve"> Parametric Survival Regression Model</w:t>
      </w:r>
      <w:bookmarkEnd w:id="164"/>
      <w:bookmarkEnd w:id="165"/>
      <w:bookmarkEnd w:id="166"/>
      <w:bookmarkEnd w:id="167"/>
      <w:bookmarkEnd w:id="168"/>
      <w:bookmarkEnd w:id="169"/>
      <w:bookmarkEnd w:id="170"/>
      <w:bookmarkEnd w:id="171"/>
      <w:bookmarkEnd w:id="172"/>
      <w:bookmarkEnd w:id="173"/>
      <w:bookmarkEnd w:id="174"/>
      <w:bookmarkEnd w:id="175"/>
      <w:bookmarkEnd w:id="176"/>
      <w:r>
        <w:rPr>
          <w:rFonts w:cs="Times New Roman"/>
          <w:sz w:val="20"/>
          <w:szCs w:val="20"/>
        </w:rPr>
        <w:t>s</w:t>
      </w:r>
      <w:bookmarkEnd w:id="177"/>
      <w:bookmarkEnd w:id="178"/>
      <w:bookmarkEnd w:id="179"/>
    </w:p>
    <w:p>
      <w:pPr>
        <w:pStyle w:val="style0"/>
        <w:spacing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In the analysis of survival data, survival models can also be used in addition to hazards model. One advantage of such models is that the proportionality assumption of the hazards is not required. The parametric survival regression models work analogous to the multiple linear regression of logarithm of survival time on explanatory variables. Such survival models are termed as parametric accelerated failure time models or simply AFT models. Because these models work on survival, the complementary concept of hazard, the sign of the regression coefficients in an AFT model will be opposite to those in PH models (Klein and Moeschberger 1997). </w:t>
      </w:r>
    </w:p>
    <w:p>
      <w:pPr>
        <w:pStyle w:val="style4097"/>
        <w:ind w:firstLine="270" w:left="-270"/>
        <w:jc w:val="both"/>
        <w:rPr>
          <w:rFonts w:ascii="Times New Roman" w:cs="Times New Roman" w:hAnsi="Times New Roman"/>
          <w:sz w:val="20"/>
          <w:szCs w:val="20"/>
        </w:rPr>
      </w:pPr>
      <w:r>
        <w:rPr>
          <w:rFonts w:ascii="Times New Roman" w:cs="Times New Roman" w:hAnsi="Times New Roman"/>
          <w:sz w:val="20"/>
          <w:szCs w:val="20"/>
        </w:rPr>
        <w:t xml:space="preserve">Most commonly used parametric Survival Regression models are Exponential, Weibull, Log-Logistic and Log-normal. Exponential and Weibull parametric </w:t>
      </w:r>
      <w:r>
        <w:rPr>
          <w:rFonts w:ascii="Times New Roman" w:cs="Times New Roman" w:hAnsi="Times New Roman"/>
          <w:sz w:val="20"/>
          <w:szCs w:val="20"/>
        </w:rPr>
        <w:t>models can work both in PH</w:t>
      </w:r>
      <w:r>
        <w:rPr>
          <w:rFonts w:ascii="Times New Roman" w:cs="Times New Roman" w:hAnsi="Times New Roman"/>
          <w:sz w:val="20"/>
          <w:szCs w:val="20"/>
        </w:rPr>
        <w:t xml:space="preserve"> and in AFT model</w:t>
      </w:r>
      <w:r>
        <w:rPr>
          <w:rFonts w:ascii="Times New Roman" w:cs="Times New Roman" w:hAnsi="Times New Roman"/>
          <w:sz w:val="20"/>
          <w:szCs w:val="20"/>
        </w:rPr>
        <w:t>s</w:t>
      </w:r>
      <w:r>
        <w:rPr>
          <w:rFonts w:ascii="Times New Roman" w:cs="Times New Roman" w:hAnsi="Times New Roman"/>
          <w:sz w:val="20"/>
          <w:szCs w:val="20"/>
        </w:rPr>
        <w:t>. These models are equally appropriate viewed in either model. And one can transform regression coefficients computed in PH model into the regression coefficient in AFT model or vice versa for Exponential and Weibull parametric survival models. That means:-</w:t>
      </w:r>
    </w:p>
    <w:p>
      <w:pPr>
        <w:pStyle w:val="style4097"/>
        <w:numPr>
          <w:ilvl w:val="0"/>
          <w:numId w:val="11"/>
        </w:numPr>
        <w:ind w:firstLine="270" w:left="-270"/>
        <w:jc w:val="both"/>
        <w:rPr>
          <w:rFonts w:ascii="Times New Roman" w:cs="Times New Roman" w:hAnsi="Times New Roman"/>
          <w:sz w:val="20"/>
          <w:szCs w:val="20"/>
        </w:rPr>
      </w:pPr>
      <w:r>
        <w:rPr>
          <w:rFonts w:ascii="Times New Roman" w:cs="Times New Roman" w:hAnsi="Times New Roman"/>
          <w:sz w:val="20"/>
          <w:szCs w:val="20"/>
        </w:rPr>
        <w:t xml:space="preserve">For exponential  </w:t>
      </w:r>
      <w:r>
        <w:rPr>
          <w:rFonts w:ascii="Times New Roman" w:cs="Times New Roman" w:hAnsi="Times New Roman"/>
          <w:sz w:val="20"/>
          <w:szCs w:val="20"/>
        </w:rPr>
        <w:t xml:space="preserve"> , the exponential PH and AFT are in fact the same model, except that the pa</w:t>
      </w:r>
      <w:r>
        <w:rPr>
          <w:rFonts w:ascii="Times New Roman" w:cs="Times New Roman" w:hAnsi="Times New Roman"/>
          <w:sz w:val="20"/>
          <w:szCs w:val="20"/>
        </w:rPr>
        <w:t>rameterization is different, hence</w:t>
      </w:r>
      <w:r>
        <w:rPr>
          <w:rFonts w:ascii="Times New Roman" w:cs="Times New Roman" w:hAnsi="Times New Roman"/>
          <w:sz w:val="20"/>
          <w:szCs w:val="20"/>
        </w:rPr>
        <w:t xml:space="preserve"> HR=exp (</w:t>
      </w:r>
      <w:r>
        <w:rPr>
          <w:rFonts w:ascii="Times New Roman" w:cs="Times New Roman" w:hAnsi="Times New Roman"/>
          <w:sz w:val="20"/>
          <w:szCs w:val="20"/>
        </w:rPr>
        <w:t>) is the hazard ratio of the i</w:t>
      </w:r>
      <w:r>
        <w:rPr>
          <w:rFonts w:ascii="Times New Roman" w:cs="Times New Roman" w:hAnsi="Times New Roman"/>
          <w:sz w:val="20"/>
          <w:szCs w:val="20"/>
          <w:vertAlign w:val="superscript"/>
        </w:rPr>
        <w:t>th</w:t>
      </w:r>
      <w:r>
        <w:rPr>
          <w:rFonts w:ascii="Times New Roman" w:cs="Times New Roman" w:hAnsi="Times New Roman"/>
          <w:sz w:val="20"/>
          <w:szCs w:val="20"/>
        </w:rPr>
        <w:t xml:space="preserve">group with the reference groups. </w:t>
      </w:r>
    </w:p>
    <w:p>
      <w:pPr>
        <w:pStyle w:val="style4097"/>
        <w:numPr>
          <w:ilvl w:val="0"/>
          <w:numId w:val="11"/>
        </w:numPr>
        <w:ind w:firstLine="270" w:left="-270"/>
        <w:jc w:val="both"/>
        <w:rPr>
          <w:rFonts w:ascii="Times New Roman" w:cs="Times New Roman" w:hAnsi="Times New Roman"/>
          <w:sz w:val="20"/>
          <w:szCs w:val="20"/>
        </w:rPr>
      </w:pPr>
      <w:r>
        <w:rPr>
          <w:rFonts w:ascii="Times New Roman" w:cs="Times New Roman" w:hAnsi="Times New Roman"/>
          <w:sz w:val="20"/>
          <w:szCs w:val="20"/>
        </w:rPr>
        <w:t xml:space="preserve">For weibull, </w:t>
      </w:r>
      <w:r>
        <w:rPr>
          <w:rFonts w:ascii="Times New Roman" w:cs="Times New Roman" w:hAnsi="Times New Roman"/>
          <w:sz w:val="20"/>
          <w:szCs w:val="20"/>
        </w:rPr>
        <w:t>, where</w:t>
      </w:r>
      <w:r>
        <w:rPr>
          <w:rFonts w:ascii="Times New Roman" w:cs="Times New Roman" w:hAnsi="Times New Roman"/>
          <w:sz w:val="20"/>
          <w:szCs w:val="20"/>
        </w:rPr>
        <w:t xml:space="preserve"> is the shape parameter and hence, HR=exp (</w:t>
      </w:r>
      <w:r>
        <w:rPr>
          <w:rFonts w:ascii="Times New Roman" w:cs="Times New Roman" w:hAnsi="Times New Roman"/>
          <w:sz w:val="20"/>
          <w:szCs w:val="20"/>
        </w:rPr>
        <w:t xml:space="preserve"> ) is the hazard ratio of the i</w:t>
      </w:r>
      <w:r>
        <w:rPr>
          <w:rFonts w:ascii="Times New Roman" w:cs="Times New Roman" w:hAnsi="Times New Roman"/>
          <w:sz w:val="20"/>
          <w:szCs w:val="20"/>
          <w:vertAlign w:val="superscript"/>
        </w:rPr>
        <w:t>th</w:t>
      </w:r>
      <w:r>
        <w:rPr>
          <w:rFonts w:ascii="Times New Roman" w:cs="Times New Roman" w:hAnsi="Times New Roman"/>
          <w:sz w:val="20"/>
          <w:szCs w:val="20"/>
        </w:rPr>
        <w:t xml:space="preserve"> group with the reference groups. </w:t>
      </w: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Other parametric survival models such as Log-Logistic and Log</w:t>
      </w:r>
      <w:r>
        <w:rPr>
          <w:rFonts w:ascii="Times New Roman" w:cs="Times New Roman" w:hAnsi="Times New Roman"/>
          <w:sz w:val="20"/>
          <w:szCs w:val="20"/>
        </w:rPr>
        <w:t xml:space="preserve">-normal work only in AFT model </w:t>
      </w:r>
      <w:r>
        <w:rPr>
          <w:rFonts w:ascii="Times New Roman" w:cs="Times New Roman" w:hAnsi="Times New Roman"/>
          <w:sz w:val="20"/>
          <w:szCs w:val="20"/>
        </w:rPr>
        <w:t xml:space="preserve">as these models do not fit into the proportional hazards frame work. </w:t>
      </w:r>
    </w:p>
    <w:bookmarkStart w:id="181" w:name="_Toc443622503"/>
    <w:bookmarkStart w:id="182" w:name="_Toc443623685"/>
    <w:bookmarkStart w:id="183" w:name="_Toc443623821"/>
    <w:bookmarkStart w:id="184" w:name="_Toc443623941"/>
    <w:bookmarkStart w:id="185" w:name="_Toc443624201"/>
    <w:bookmarkStart w:id="186" w:name="_Toc443626171"/>
    <w:bookmarkStart w:id="187" w:name="_Toc450285325"/>
    <w:bookmarkStart w:id="188" w:name="_Toc450288335"/>
    <w:bookmarkStart w:id="189" w:name="_Toc450292784"/>
    <w:bookmarkStart w:id="190" w:name="_Toc450294511"/>
    <w:bookmarkStart w:id="191" w:name="_Toc450294894"/>
    <w:bookmarkStart w:id="192" w:name="_Toc451522850"/>
    <w:bookmarkEnd w:id="180"/>
    <w:p>
      <w:pPr>
        <w:pStyle w:val="style4"/>
        <w:spacing w:after="240" w:lineRule="auto" w:line="240"/>
        <w:ind w:firstLine="270" w:left="-270" w:right="144"/>
        <w:rPr>
          <w:rFonts w:ascii="Times New Roman" w:cs="Times New Roman" w:hAnsi="Times New Roman"/>
          <w:i w:val="false"/>
          <w:color w:val="auto"/>
          <w:sz w:val="20"/>
          <w:szCs w:val="20"/>
        </w:rPr>
      </w:pPr>
      <w:r>
        <w:rPr>
          <w:rFonts w:ascii="Times New Roman" w:cs="Times New Roman" w:hAnsi="Times New Roman"/>
          <w:i w:val="false"/>
          <w:color w:val="auto"/>
          <w:sz w:val="20"/>
          <w:szCs w:val="20"/>
        </w:rPr>
        <w:t>3.6.2</w:t>
      </w:r>
      <w:r>
        <w:rPr>
          <w:rFonts w:ascii="Times New Roman" w:cs="Times New Roman" w:hAnsi="Times New Roman"/>
          <w:i w:val="false"/>
          <w:color w:val="auto"/>
          <w:sz w:val="20"/>
          <w:szCs w:val="20"/>
        </w:rPr>
        <w:t xml:space="preserve">.2.5 </w:t>
      </w:r>
      <w:r>
        <w:rPr>
          <w:rFonts w:ascii="Times New Roman" w:cs="Times New Roman" w:hAnsi="Times New Roman"/>
          <w:i w:val="false"/>
          <w:color w:val="auto"/>
          <w:sz w:val="20"/>
          <w:szCs w:val="20"/>
        </w:rPr>
        <w:t>.</w:t>
      </w:r>
      <w:r>
        <w:rPr>
          <w:rFonts w:ascii="Times New Roman" w:cs="Times New Roman" w:hAnsi="Times New Roman"/>
          <w:i w:val="false"/>
          <w:color w:val="auto"/>
          <w:sz w:val="20"/>
          <w:szCs w:val="20"/>
        </w:rPr>
        <w:t>Fitting parametric</w:t>
      </w:r>
      <w:r>
        <w:rPr>
          <w:rFonts w:ascii="Times New Roman" w:cs="Times New Roman" w:hAnsi="Times New Roman"/>
          <w:i w:val="false"/>
          <w:color w:val="auto"/>
          <w:sz w:val="20"/>
          <w:szCs w:val="20"/>
        </w:rPr>
        <w:t xml:space="preserve"> </w:t>
      </w:r>
      <w:r>
        <w:rPr>
          <w:rFonts w:ascii="Times New Roman" w:cs="Times New Roman" w:hAnsi="Times New Roman"/>
          <w:i w:val="false"/>
          <w:color w:val="auto"/>
          <w:sz w:val="20"/>
          <w:szCs w:val="20"/>
        </w:rPr>
        <w:t>Survival Regression Models</w:t>
      </w:r>
      <w:bookmarkEnd w:id="181"/>
      <w:bookmarkEnd w:id="182"/>
      <w:bookmarkEnd w:id="183"/>
      <w:bookmarkEnd w:id="184"/>
      <w:bookmarkEnd w:id="185"/>
      <w:bookmarkEnd w:id="186"/>
      <w:bookmarkEnd w:id="187"/>
      <w:bookmarkEnd w:id="188"/>
      <w:bookmarkEnd w:id="189"/>
      <w:bookmarkEnd w:id="190"/>
      <w:bookmarkEnd w:id="191"/>
      <w:bookmarkEnd w:id="192"/>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survival likelihood for Weibull distributed survival data with event times and right censored data is generally given by</w:t>
      </w:r>
    </w:p>
    <w:p>
      <w:pPr>
        <w:pStyle w:val="style0"/>
        <w:autoSpaceDE w:val="false"/>
        <w:autoSpaceDN w:val="false"/>
        <w:adjustRightInd w:val="false"/>
        <w:spacing w:before="120" w:after="12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CMR10" w:cs="CMR10" w:hAnsi="CMR10"/>
          <w:sz w:val="20"/>
          <w:szCs w:val="20"/>
        </w:rPr>
        <w:t>Resulting in the log likelihood function</w:t>
      </w:r>
    </w:p>
    <w:p>
      <w:pPr>
        <w:pStyle w:val="style0"/>
        <w:autoSpaceDE w:val="false"/>
        <w:autoSpaceDN w:val="false"/>
        <w:adjustRightInd w:val="false"/>
        <w:spacing w:before="24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with</w:t>
      </w:r>
      <w:r>
        <w:rPr>
          <w:rFonts w:ascii="Times New Roman" w:cs="Times New Roman" w:hAnsi="Times New Roman"/>
          <w:sz w:val="20"/>
          <w:szCs w:val="20"/>
        </w:rPr>
        <w:t xml:space="preserve">the total number of events. Maximum likelihood estimators can be obtained by equating the first derivatives of </w:t>
      </w:r>
      <w:r>
        <w:rPr>
          <w:rFonts w:ascii="Times New Roman" w:cs="Times New Roman" w:hAnsi="Times New Roman"/>
          <w:sz w:val="20"/>
          <w:szCs w:val="20"/>
        </w:rPr>
        <w:t xml:space="preserve"> with respect to </w:t>
      </w:r>
      <w:r>
        <w:rPr>
          <w:rFonts w:ascii="Cambria Math" w:cs="Times New Roman" w:hAnsi="Cambria Math"/>
          <w:sz w:val="20"/>
          <w:szCs w:val="20"/>
        </w:rPr>
        <w:t>λ</w:t>
      </w:r>
      <w:r>
        <w:rPr>
          <w:rFonts w:ascii="Times New Roman" w:cs="Times New Roman" w:hAnsi="Times New Roman"/>
          <w:sz w:val="20"/>
          <w:szCs w:val="20"/>
        </w:rPr>
        <w:t xml:space="preserve"> and </w:t>
      </w:r>
      <w:r>
        <w:rPr>
          <w:rFonts w:ascii="Times New Roman" w:cs="Times New Roman" w:hAnsi="Times New Roman"/>
          <w:sz w:val="20"/>
          <w:szCs w:val="20"/>
        </w:rPr>
        <w:t xml:space="preserve"> to zero and we get.</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position w:val="-6"/>
          <w:sz w:val="20"/>
          <w:szCs w:val="20"/>
        </w:rPr>
        <w:drawing>
          <wp:inline distT="0" distB="0" distL="0" distR="0">
            <wp:extent cx="214629" cy="318135"/>
            <wp:effectExtent l="0" t="0" r="0" b="0"/>
            <wp:docPr id="1026" name="Image1"/>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extLst>
                        <a:ext uri="{28A0092B-C50C-407E-A947-70E740481C1C}">
                          <a14:useLocalDpi xmlns:a14="http://schemas.microsoft.com/office/drawing/2010/main" val="0"/>
                        </a:ext>
                      </a:extLst>
                    </a:blip>
                    <a:srcRect l="0" t="0" r="0" b="0"/>
                    <a:stretch>
                      <a:fillRect/>
                    </a:stretch>
                  </pic:blipFill>
                  <pic:spPr>
                    <a:xfrm>
                      <a:off x="0" y="0"/>
                      <a:ext cx="214629" cy="318135"/>
                    </a:xfrm>
                    <a:prstGeom prst="rect">
                      <a:avLst/>
                    </a:prstGeom>
                    <a:ln>
                      <a:noFill/>
                    </a:ln>
                  </pic:spPr>
                </pic:pic>
              </a:graphicData>
            </a:graphic>
          </wp:inline>
        </w:drawing>
      </w:r>
      <w:r>
        <w:rPr>
          <w:rFonts w:ascii="Times New Roman" w:cs="Times New Roman" w:hAnsi="Times New Roman"/>
          <w:sz w:val="20"/>
          <w:szCs w:val="20"/>
        </w:rPr>
        <w:t xml:space="preserve"> =  </w:t>
      </w:r>
      <w:r>
        <w:rPr>
          <w:rFonts w:ascii="Times New Roman" w:cs="Times New Roman" w:hAnsi="Times New Roman"/>
          <w:sz w:val="20"/>
          <w:szCs w:val="20"/>
        </w:rPr>
        <w:t>and</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which is nonlinear in </w:t>
      </w:r>
      <w:r>
        <w:rPr>
          <w:rFonts w:ascii="Times New Roman" w:cs="Times New Roman" w:hAnsi="Times New Roman"/>
          <w:position w:val="-10"/>
          <w:sz w:val="20"/>
          <w:szCs w:val="20"/>
        </w:rPr>
        <w:drawing>
          <wp:inline distT="0" distB="0" distL="0" distR="0">
            <wp:extent cx="151130" cy="222884"/>
            <wp:effectExtent l="0" t="0" r="0" b="0"/>
            <wp:docPr id="1027" name="Image1"/>
            <a:graphic xmlns:a="http://schemas.openxmlformats.org/drawingml/2006/main">
              <a:graphicData uri="http://schemas.openxmlformats.org/drawingml/2006/picture">
                <pic:pic xmlns:pic="http://schemas.openxmlformats.org/drawingml/2006/picture">
                  <pic:nvPicPr>
                    <pic:cNvPr id="1" name="Image"/>
                    <pic:cNvPicPr/>
                  </pic:nvPicPr>
                  <pic:blipFill>
                    <a:blip r:embed="rId3" cstate="print">
                      <a:extLst>
                        <a:ext uri="{28A0092B-C50C-407E-A947-70E740481C1C}">
                          <a14:useLocalDpi xmlns:a14="http://schemas.microsoft.com/office/drawing/2010/main" val="0"/>
                        </a:ext>
                      </a:extLst>
                    </a:blip>
                    <a:srcRect l="0" t="0" r="0" b="0"/>
                    <a:stretch>
                      <a:fillRect/>
                    </a:stretch>
                  </pic:blipFill>
                  <pic:spPr>
                    <a:xfrm>
                      <a:off x="0" y="0"/>
                      <a:ext cx="151130" cy="222884"/>
                    </a:xfrm>
                    <a:prstGeom prst="rect">
                      <a:avLst/>
                    </a:prstGeom>
                    <a:ln>
                      <a:noFill/>
                    </a:ln>
                  </pic:spPr>
                </pic:pic>
              </a:graphicData>
            </a:graphic>
          </wp:inline>
        </w:drawing>
      </w:r>
      <w:r>
        <w:rPr>
          <w:rFonts w:ascii="Times New Roman" w:cs="Times New Roman" w:hAnsi="Times New Roman"/>
          <w:sz w:val="20"/>
          <w:szCs w:val="20"/>
        </w:rPr>
        <w:t>and can only be solved by a numerical procedure such as the Newton Raphson algorithm.</w:t>
      </w:r>
    </w:p>
    <w:bookmarkStart w:id="193" w:name="_Toc443622504"/>
    <w:bookmarkStart w:id="194" w:name="_Toc443623686"/>
    <w:bookmarkStart w:id="195" w:name="_Toc443623822"/>
    <w:bookmarkStart w:id="196" w:name="_Toc443623942"/>
    <w:bookmarkStart w:id="197" w:name="_Toc443624202"/>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likelihood function is derived from the log-linear function of </w:t>
      </w:r>
      <w:r>
        <w:rPr>
          <w:rFonts w:ascii="Times New Roman" w:cs="Times New Roman" w:hAnsi="Times New Roman"/>
          <w:sz w:val="20"/>
          <w:szCs w:val="20"/>
        </w:rPr>
        <w:t>the model</w:t>
      </w:r>
      <w:r>
        <w:rPr>
          <w:rFonts w:ascii="Times New Roman" w:cs="Times New Roman" w:hAnsi="Times New Roman"/>
          <w:sz w:val="20"/>
          <w:szCs w:val="20"/>
        </w:rPr>
        <w:t xml:space="preserve"> defined in equation (3.51</w:t>
      </w:r>
      <w:r>
        <w:rPr>
          <w:rFonts w:ascii="Times New Roman" w:cs="Times New Roman" w:hAnsi="Times New Roman"/>
          <w:sz w:val="20"/>
          <w:szCs w:val="20"/>
        </w:rPr>
        <w:t xml:space="preserve">).The likelihood function of n observed survival times, </w:t>
      </w:r>
      <w:r>
        <w:rPr>
          <w:rFonts w:ascii="Times New Roman" w:cs="Times New Roman" w:hAnsi="Times New Roman"/>
          <w:sz w:val="20"/>
          <w:szCs w:val="20"/>
        </w:rPr>
        <w:t xml:space="preserve"> for the log-linear form of the parametric Survival Regres</w:t>
      </w:r>
      <w:r>
        <w:rPr>
          <w:rFonts w:ascii="Times New Roman" w:cs="Times New Roman" w:hAnsi="Times New Roman"/>
          <w:sz w:val="20"/>
          <w:szCs w:val="20"/>
        </w:rPr>
        <w:t>sion</w:t>
      </w:r>
      <w:r>
        <w:rPr>
          <w:rFonts w:ascii="Times New Roman" w:cs="Times New Roman" w:hAnsi="Times New Roman"/>
          <w:sz w:val="20"/>
          <w:szCs w:val="20"/>
        </w:rPr>
        <w:t>model is given by</w:t>
      </w:r>
      <w:bookmarkEnd w:id="193"/>
      <w:bookmarkEnd w:id="194"/>
      <w:bookmarkEnd w:id="195"/>
      <w:bookmarkEnd w:id="196"/>
      <w:bookmarkEnd w:id="197"/>
    </w:p>
    <w:p>
      <w:pPr>
        <w:pStyle w:val="style0"/>
        <w:spacing w:before="240" w:lineRule="auto" w:line="240"/>
        <w:ind w:firstLine="270" w:left="-270"/>
        <w:jc w:val="both"/>
        <w:rPr>
          <w:rFonts w:ascii="Times New Roman" w:cs="Times New Roman" w:hAnsi="Times New Roman"/>
          <w:sz w:val="20"/>
          <w:szCs w:val="20"/>
        </w:rPr>
      </w:pP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Where</w:t>
      </w:r>
      <w:r>
        <w:rPr>
          <w:rFonts w:ascii="Cambria Math" w:cs="Times New Roman" w:hAnsi="Cambria Math"/>
          <w:sz w:val="20"/>
          <w:szCs w:val="20"/>
        </w:rPr>
        <w:t xml:space="preserve"> and </w:t>
      </w:r>
      <w:r>
        <w:rPr>
          <w:rFonts w:ascii="Cambria Math" w:cs="Times New Roman" w:hAnsi="Cambria Math"/>
          <w:sz w:val="20"/>
          <w:szCs w:val="20"/>
        </w:rPr>
        <w:t xml:space="preserve"> are</w:t>
      </w:r>
      <w:r>
        <w:rPr>
          <w:rFonts w:ascii="Times New Roman" w:cs="Times New Roman" w:hAnsi="Times New Roman"/>
          <w:sz w:val="20"/>
          <w:szCs w:val="20"/>
        </w:rPr>
        <w:t xml:space="preserve"> the density and survival functions for the </w:t>
      </w:r>
      <w:r>
        <w:rPr>
          <w:rFonts w:ascii="Times New Roman" w:cs="Times New Roman" w:hAnsi="Times New Roman"/>
          <w:sz w:val="20"/>
          <w:szCs w:val="20"/>
        </w:rPr>
        <w:t xml:space="preserve"> individual at time </w:t>
      </w:r>
      <w:r>
        <w:rPr>
          <w:rFonts w:ascii="Cambria Math" w:cs="Times New Roman" w:hAnsi="Cambria Math"/>
          <w:sz w:val="20"/>
          <w:szCs w:val="20"/>
        </w:rPr>
        <w:t xml:space="preserve"> and </w:t>
      </w:r>
      <w:r>
        <w:rPr>
          <w:rFonts w:ascii="Times New Roman" w:cs="Times New Roman" w:hAnsi="Times New Roman"/>
          <w:sz w:val="20"/>
          <w:szCs w:val="20"/>
        </w:rPr>
        <w:t xml:space="preserve"> is the event indicator for the observation and has value zero for censored and one for uncensored individuals. If </w:t>
      </w:r>
      <w:r>
        <w:rPr>
          <w:rFonts w:ascii="Times New Roman" w:cs="Times New Roman" w:hAnsi="Times New Roman"/>
          <w:sz w:val="20"/>
          <w:szCs w:val="20"/>
        </w:rPr>
        <w:t xml:space="preserve"> and </w:t>
      </w:r>
      <w:r>
        <w:rPr>
          <w:rFonts w:ascii="Times New Roman" w:cs="Times New Roman" w:hAnsi="Times New Roman"/>
          <w:sz w:val="20"/>
          <w:szCs w:val="20"/>
        </w:rPr>
        <w:t xml:space="preserve"> are probability density function and survival function respectively of the random variable </w:t>
      </w:r>
      <w:r>
        <w:rPr>
          <w:rFonts w:ascii="Times New Roman" w:cs="Times New Roman" w:hAnsi="Times New Roman"/>
          <w:sz w:val="20"/>
          <w:szCs w:val="20"/>
        </w:rPr>
        <w:t xml:space="preserve"> in equation (3.54</w:t>
      </w:r>
      <w:r>
        <w:rPr>
          <w:rFonts w:ascii="Times New Roman" w:cs="Times New Roman" w:hAnsi="Times New Roman"/>
          <w:sz w:val="20"/>
          <w:szCs w:val="20"/>
        </w:rPr>
        <w:t>) in such a way that</w:t>
      </w:r>
    </w:p>
    <w:p>
      <w:pPr>
        <w:pStyle w:val="style0"/>
        <w:spacing w:after="0" w:lineRule="auto" w:line="240"/>
        <w:ind w:firstLine="270" w:left="-270"/>
        <w:jc w:val="both"/>
        <w:rPr>
          <w:rFonts w:ascii="Cambria Math" w:cs="Times New Roman" w:hAnsi="Cambria Math"/>
          <w:sz w:val="20"/>
          <w:szCs w:val="20"/>
        </w:rPr>
      </w:pPr>
      <w:r>
        <w:rPr>
          <w:rFonts w:ascii="Times New Roman" w:cs="Times New Roman" w:hAnsi="Times New Roman"/>
          <w:sz w:val="20"/>
          <w:szCs w:val="20"/>
        </w:rPr>
        <w:t>and</w:t>
      </w:r>
    </w:p>
    <w:p>
      <w:pPr>
        <w:pStyle w:val="style0"/>
        <w:spacing w:after="0" w:lineRule="auto" w:line="240"/>
        <w:ind w:firstLine="270" w:left="-270"/>
        <w:jc w:val="both"/>
        <w:rPr>
          <w:rFonts w:ascii="Times New Roman" w:cs="Times New Roman" w:hAnsi="Times New Roman"/>
          <w:sz w:val="20"/>
          <w:szCs w:val="20"/>
        </w:rPr>
      </w:pPr>
      <w:r>
        <w:rPr>
          <w:rFonts w:ascii="Cambria Math" w:cs="Times New Roman" w:hAnsi="Cambria Math"/>
          <w:sz w:val="20"/>
          <w:szCs w:val="20"/>
        </w:rPr>
        <w:t xml:space="preserve">     Where,</w:t>
      </w: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resulting likelihood function using survival function and density function of assumed probability distribution represented by random variable </w:t>
      </w:r>
      <w:r>
        <w:rPr>
          <w:rFonts w:ascii="Times New Roman" w:cs="Times New Roman" w:hAnsi="Times New Roman"/>
          <w:sz w:val="20"/>
          <w:szCs w:val="20"/>
        </w:rPr>
        <w:t xml:space="preserve"> is as follows:</w:t>
      </w:r>
    </w:p>
    <w:p>
      <w:pPr>
        <w:pStyle w:val="style0"/>
        <w:spacing w:before="240" w:lineRule="auto" w:line="240"/>
        <w:ind w:firstLine="270" w:left="-270"/>
        <w:jc w:val="both"/>
        <w:rPr>
          <w:rFonts w:ascii="Times New Roman" w:cs="Times New Roman" w:hAnsi="Times New Roman"/>
          <w:sz w:val="20"/>
          <w:szCs w:val="20"/>
        </w:rPr>
      </w:pP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log-likelihood function is:</w:t>
      </w:r>
    </w:p>
    <w:p>
      <w:pPr>
        <w:pStyle w:val="style0"/>
        <w:spacing w:before="240" w:lineRule="auto" w:line="240"/>
        <w:ind w:firstLine="270" w:left="-270"/>
        <w:jc w:val="both"/>
        <w:rPr>
          <w:rFonts w:ascii="Cambria Math" w:cs="Times New Roman" w:hAnsi="Cambria Math"/>
          <w:sz w:val="20"/>
          <w:szCs w:val="20"/>
        </w:rPr>
      </w:pP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term </w:t>
      </w:r>
      <w:r>
        <w:rPr>
          <w:rFonts w:ascii="Times New Roman" w:cs="Times New Roman" w:hAnsi="Times New Roman"/>
          <w:sz w:val="20"/>
          <w:szCs w:val="20"/>
        </w:rPr>
        <w:t xml:space="preserve"> is omitted as it does not involve any unknown parameters. Hence the full log-likelihood function is given by</w:t>
      </w:r>
    </w:p>
    <w:p>
      <w:pPr>
        <w:pStyle w:val="style0"/>
        <w:spacing w:before="24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w:t>
      </w:r>
      <w:r>
        <w:rPr>
          <w:rFonts w:ascii="Times New Roman" w:cs="Times New Roman" w:hAnsi="Times New Roman"/>
          <w:sz w:val="20"/>
          <w:szCs w:val="20"/>
        </w:rPr>
        <w:t>3.56</w:t>
      </w:r>
      <w:r>
        <w:rPr>
          <w:rFonts w:ascii="Times New Roman" w:cs="Times New Roman" w:hAnsi="Times New Roman"/>
          <w:sz w:val="20"/>
          <w:szCs w:val="20"/>
        </w:rPr>
        <w:t>)</w:t>
      </w: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maximum likelihood estimates of the parameters are estimated by using iterative Newton-Raphson procedure. </w:t>
      </w:r>
    </w:p>
    <w:bookmarkStart w:id="198" w:name="_Toc450285332"/>
    <w:bookmarkStart w:id="199" w:name="_Toc450288342"/>
    <w:bookmarkStart w:id="200" w:name="_Toc450292791"/>
    <w:bookmarkStart w:id="201" w:name="_Toc450294518"/>
    <w:bookmarkStart w:id="202" w:name="_Toc450294901"/>
    <w:bookmarkStart w:id="203" w:name="_Toc450724160"/>
    <w:bookmarkStart w:id="204" w:name="_Toc450724405"/>
    <w:bookmarkStart w:id="205" w:name="_Toc451494715"/>
    <w:bookmarkStart w:id="206" w:name="_Toc451496309"/>
    <w:bookmarkStart w:id="207" w:name="_Toc451496812"/>
    <w:bookmarkStart w:id="208" w:name="_Toc451522857"/>
    <w:bookmarkStart w:id="209" w:name="_Toc451742098"/>
    <w:bookmarkStart w:id="210" w:name="_Toc451742839"/>
    <w:bookmarkStart w:id="211" w:name="_Toc452191100"/>
    <w:bookmarkStart w:id="212" w:name="_Toc452191649"/>
    <w:bookmarkStart w:id="213" w:name="_Toc452195070"/>
    <w:p>
      <w:pPr>
        <w:pStyle w:val="style4097"/>
        <w:spacing w:before="240"/>
        <w:ind w:firstLine="270" w:left="-270" w:right="144"/>
        <w:outlineLvl w:val="0"/>
        <w:rPr>
          <w:rFonts w:ascii="Times New Roman" w:cs="Times New Roman" w:hAnsi="Times New Roman"/>
          <w:b/>
          <w:sz w:val="20"/>
          <w:szCs w:val="20"/>
        </w:rPr>
      </w:pPr>
      <w:r>
        <w:rPr>
          <w:rFonts w:ascii="Times New Roman" w:cs="Times New Roman" w:hAnsi="Times New Roman"/>
          <w:b/>
          <w:bCs/>
          <w:sz w:val="20"/>
          <w:szCs w:val="20"/>
        </w:rPr>
        <w:t>3</w:t>
      </w:r>
      <w:r>
        <w:rPr>
          <w:rFonts w:ascii="Times New Roman" w:cs="Times New Roman" w:hAnsi="Times New Roman"/>
          <w:b/>
          <w:bCs/>
          <w:sz w:val="20"/>
          <w:szCs w:val="20"/>
        </w:rPr>
        <w:t>. R</w:t>
      </w:r>
      <w:r>
        <w:rPr>
          <w:rFonts w:ascii="Times New Roman" w:cs="Times New Roman" w:hAnsi="Times New Roman"/>
          <w:b/>
          <w:bCs/>
          <w:sz w:val="20"/>
          <w:szCs w:val="20"/>
        </w:rPr>
        <w:t>esults and D</w:t>
      </w:r>
      <w:r>
        <w:rPr>
          <w:rFonts w:ascii="Times New Roman" w:cs="Times New Roman" w:hAnsi="Times New Roman"/>
          <w:b/>
          <w:bCs/>
          <w:sz w:val="20"/>
          <w:szCs w:val="20"/>
        </w:rPr>
        <w:t>iscu</w:t>
      </w:r>
      <w:r>
        <w:rPr>
          <w:rFonts w:ascii="Times New Roman" w:cs="Times New Roman" w:hAnsi="Times New Roman"/>
          <w:b/>
          <w:bCs/>
          <w:sz w:val="20"/>
          <w:szCs w:val="20"/>
        </w:rPr>
        <w:t>ssion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bookmarkStart w:id="214" w:name="_Toc450285333"/>
    <w:bookmarkStart w:id="215" w:name="_Toc450288343"/>
    <w:bookmarkStart w:id="216" w:name="_Toc450292792"/>
    <w:bookmarkStart w:id="217" w:name="_Toc450294519"/>
    <w:bookmarkStart w:id="218" w:name="_Toc450294902"/>
    <w:bookmarkStart w:id="219" w:name="_Toc450724161"/>
    <w:bookmarkStart w:id="220" w:name="_Toc450724406"/>
    <w:bookmarkStart w:id="221" w:name="_Toc451494716"/>
    <w:bookmarkStart w:id="222" w:name="_Toc451496310"/>
    <w:bookmarkStart w:id="223" w:name="_Toc451496813"/>
    <w:bookmarkStart w:id="224" w:name="_Toc451522858"/>
    <w:bookmarkStart w:id="225" w:name="_Toc451742099"/>
    <w:bookmarkStart w:id="226" w:name="_Toc451742840"/>
    <w:bookmarkStart w:id="227" w:name="_Toc452191101"/>
    <w:bookmarkStart w:id="228" w:name="_Toc452191650"/>
    <w:bookmarkStart w:id="229" w:name="_Toc452195071"/>
    <w:p>
      <w:pPr>
        <w:pStyle w:val="style2"/>
        <w:spacing w:before="0" w:after="240" w:lineRule="auto" w:line="240"/>
        <w:ind w:firstLine="270" w:left="-270" w:right="144"/>
        <w:rPr>
          <w:rFonts w:ascii="Times New Roman" w:cs="Times New Roman" w:hAnsi="Times New Roman"/>
          <w:bCs w:val="false"/>
          <w:color w:val="auto"/>
          <w:sz w:val="20"/>
          <w:szCs w:val="20"/>
        </w:rPr>
      </w:pPr>
      <w:r>
        <w:rPr>
          <w:rFonts w:ascii="Times New Roman" w:cs="Times New Roman" w:hAnsi="Times New Roman"/>
          <w:bCs w:val="false"/>
          <w:color w:val="auto"/>
          <w:sz w:val="20"/>
          <w:szCs w:val="20"/>
        </w:rPr>
        <w:t xml:space="preserve">          3.</w:t>
      </w:r>
      <w:r>
        <w:rPr>
          <w:rFonts w:ascii="Times New Roman" w:cs="Times New Roman" w:hAnsi="Times New Roman"/>
          <w:bCs w:val="false"/>
          <w:color w:val="auto"/>
          <w:sz w:val="20"/>
          <w:szCs w:val="20"/>
        </w:rPr>
        <w:t>1</w:t>
      </w:r>
      <w:bookmarkEnd w:id="214"/>
      <w:bookmarkEnd w:id="215"/>
      <w:bookmarkEnd w:id="216"/>
      <w:bookmarkEnd w:id="217"/>
      <w:bookmarkEnd w:id="218"/>
      <w:bookmarkEnd w:id="219"/>
      <w:bookmarkEnd w:id="220"/>
      <w:r>
        <w:rPr>
          <w:rFonts w:ascii="Times New Roman" w:cs="Times New Roman" w:hAnsi="Times New Roman"/>
          <w:bCs w:val="false"/>
          <w:color w:val="auto"/>
          <w:sz w:val="20"/>
          <w:szCs w:val="20"/>
        </w:rPr>
        <w:t xml:space="preserve">. </w:t>
      </w:r>
      <w:r>
        <w:rPr>
          <w:rFonts w:ascii="Times New Roman" w:cs="Times New Roman" w:hAnsi="Times New Roman" w:eastAsiaTheme="minorHAnsi"/>
          <w:bCs w:val="false"/>
          <w:color w:val="auto"/>
          <w:sz w:val="20"/>
          <w:szCs w:val="20"/>
        </w:rPr>
        <w:t>Descriptive</w:t>
      </w:r>
      <w:r>
        <w:rPr>
          <w:rFonts w:ascii="Times New Roman" w:cs="Times New Roman" w:hAnsi="Times New Roman"/>
          <w:bCs w:val="false"/>
          <w:color w:val="auto"/>
          <w:sz w:val="20"/>
          <w:szCs w:val="20"/>
        </w:rPr>
        <w:t xml:space="preserve"> Analysis of HIV patients</w:t>
      </w:r>
      <w:bookmarkEnd w:id="221"/>
      <w:bookmarkEnd w:id="222"/>
      <w:bookmarkEnd w:id="223"/>
      <w:bookmarkEnd w:id="224"/>
      <w:bookmarkEnd w:id="225"/>
      <w:bookmarkEnd w:id="226"/>
      <w:bookmarkEnd w:id="227"/>
      <w:bookmarkEnd w:id="228"/>
      <w:bookmarkEnd w:id="229"/>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study included 933 HIV patients, who started ART in Hossana Queen ElleniMohamad Memorial </w:t>
      </w:r>
      <w:r>
        <w:rPr>
          <w:rFonts w:ascii="Times New Roman" w:cs="Times New Roman" w:hAnsi="Times New Roman"/>
          <w:sz w:val="20"/>
          <w:szCs w:val="20"/>
        </w:rPr>
        <w:t>Hospitalbetween</w:t>
      </w:r>
      <w:r>
        <w:rPr>
          <w:rFonts w:ascii="Times New Roman" w:cs="Times New Roman" w:hAnsi="Times New Roman"/>
          <w:sz w:val="20"/>
          <w:szCs w:val="20"/>
        </w:rPr>
        <w:t>1</w:t>
      </w:r>
      <w:r>
        <w:rPr>
          <w:rFonts w:ascii="Times New Roman" w:cs="Times New Roman" w:hAnsi="Times New Roman"/>
          <w:sz w:val="20"/>
          <w:szCs w:val="20"/>
          <w:vertAlign w:val="superscript"/>
        </w:rPr>
        <w:t>st</w:t>
      </w:r>
      <w:r>
        <w:rPr>
          <w:rFonts w:ascii="Times New Roman" w:cs="Times New Roman" w:hAnsi="Times New Roman"/>
          <w:sz w:val="20"/>
          <w:szCs w:val="20"/>
        </w:rPr>
        <w:t>February 2011 to 1</w:t>
      </w:r>
      <w:r>
        <w:rPr>
          <w:rFonts w:ascii="Times New Roman" w:cs="Times New Roman" w:hAnsi="Times New Roman"/>
          <w:sz w:val="20"/>
          <w:szCs w:val="20"/>
          <w:vertAlign w:val="superscript"/>
        </w:rPr>
        <w:t>st</w:t>
      </w:r>
      <w:r>
        <w:rPr>
          <w:rFonts w:ascii="Times New Roman" w:cs="Times New Roman" w:hAnsi="Times New Roman"/>
          <w:sz w:val="20"/>
          <w:szCs w:val="20"/>
        </w:rPr>
        <w:t>January 2016</w:t>
      </w:r>
      <w:r>
        <w:rPr>
          <w:rFonts w:ascii="Times New Roman" w:cs="Times New Roman" w:hAnsi="Times New Roman"/>
          <w:sz w:val="20"/>
          <w:szCs w:val="20"/>
        </w:rPr>
        <w:t xml:space="preserve">. </w:t>
      </w:r>
      <w:r>
        <w:rPr>
          <w:rFonts w:ascii="Times New Roman" w:cs="Times New Roman" w:hAnsi="Times New Roman"/>
          <w:sz w:val="20"/>
          <w:szCs w:val="20"/>
        </w:rPr>
        <w:t xml:space="preserve"> Among those patients</w:t>
      </w:r>
      <w:r>
        <w:rPr>
          <w:rFonts w:ascii="Times New Roman" w:cs="Times New Roman" w:hAnsi="Times New Roman"/>
          <w:sz w:val="20"/>
          <w:szCs w:val="20"/>
        </w:rPr>
        <w:t xml:space="preserve"> 15.3% were dead cases and the rest 84.7% were censored. The baseline socio-demographic </w:t>
      </w:r>
      <w:r>
        <w:rPr>
          <w:rFonts w:ascii="Times New Roman" w:cs="Times New Roman" w:hAnsi="Times New Roman"/>
          <w:sz w:val="20"/>
          <w:szCs w:val="20"/>
        </w:rPr>
        <w:t>variables</w:t>
      </w:r>
      <w:r>
        <w:rPr>
          <w:rFonts w:ascii="Times New Roman" w:cs="Times New Roman" w:hAnsi="Times New Roman"/>
          <w:sz w:val="20"/>
          <w:szCs w:val="20"/>
        </w:rPr>
        <w:t xml:space="preserve"> of the cohort are summari</w:t>
      </w:r>
      <w:r>
        <w:rPr>
          <w:rFonts w:ascii="Times New Roman" w:cs="Times New Roman" w:hAnsi="Times New Roman"/>
          <w:sz w:val="20"/>
          <w:szCs w:val="20"/>
        </w:rPr>
        <w:t>zed in Table 4.1</w:t>
      </w:r>
      <w:r>
        <w:rPr>
          <w:rFonts w:ascii="Times New Roman" w:cs="Times New Roman" w:hAnsi="Times New Roman"/>
          <w:sz w:val="20"/>
          <w:szCs w:val="20"/>
        </w:rPr>
        <w:t xml:space="preserve">. </w:t>
      </w:r>
      <w:r>
        <w:rPr>
          <w:rFonts w:ascii="Times New Roman" w:cs="Times New Roman" w:hAnsi="Times New Roman"/>
          <w:sz w:val="20"/>
          <w:szCs w:val="20"/>
        </w:rPr>
        <w:t xml:space="preserve">Out of these patients </w:t>
      </w:r>
      <w:r>
        <w:rPr>
          <w:rFonts w:ascii="Times New Roman" w:cs="Times New Roman" w:hAnsi="Times New Roman"/>
          <w:color w:val="000000"/>
          <w:sz w:val="20"/>
          <w:szCs w:val="20"/>
        </w:rPr>
        <w:t>501(53.7</w:t>
      </w:r>
      <w:r>
        <w:rPr>
          <w:rFonts w:ascii="Times New Roman" w:cs="Times New Roman" w:hAnsi="Times New Roman"/>
          <w:sz w:val="20"/>
          <w:szCs w:val="20"/>
        </w:rPr>
        <w:t>%</w:t>
      </w:r>
      <w:r>
        <w:rPr>
          <w:rFonts w:ascii="Times New Roman" w:cs="Times New Roman" w:hAnsi="Times New Roman"/>
          <w:color w:val="000000"/>
          <w:sz w:val="20"/>
          <w:szCs w:val="20"/>
        </w:rPr>
        <w:t>)</w:t>
      </w:r>
      <w:r>
        <w:rPr>
          <w:rFonts w:ascii="Times New Roman" w:cs="Times New Roman" w:hAnsi="Times New Roman"/>
          <w:sz w:val="20"/>
          <w:szCs w:val="20"/>
        </w:rPr>
        <w:t xml:space="preserve">were </w:t>
      </w:r>
      <w:r>
        <w:rPr>
          <w:rFonts w:ascii="Times New Roman" w:cs="Times New Roman" w:hAnsi="Times New Roman"/>
          <w:sz w:val="20"/>
          <w:szCs w:val="20"/>
        </w:rPr>
        <w:t>female</w:t>
      </w:r>
      <w:r>
        <w:rPr>
          <w:rFonts w:ascii="Times New Roman" w:cs="Times New Roman" w:hAnsi="Times New Roman"/>
          <w:sz w:val="20"/>
          <w:szCs w:val="20"/>
        </w:rPr>
        <w:t>s, death proportion were</w:t>
      </w:r>
      <w:r>
        <w:rPr>
          <w:rFonts w:ascii="Times New Roman" w:cs="Times New Roman" w:hAnsi="Times New Roman"/>
          <w:sz w:val="20"/>
          <w:szCs w:val="20"/>
        </w:rPr>
        <w:t xml:space="preserve"> 14.2</w:t>
      </w:r>
      <w:r>
        <w:rPr>
          <w:rFonts w:ascii="Times New Roman" w:cs="Times New Roman" w:hAnsi="Times New Roman"/>
          <w:sz w:val="20"/>
          <w:szCs w:val="20"/>
        </w:rPr>
        <w:t>%</w:t>
      </w:r>
      <w:r>
        <w:rPr>
          <w:rFonts w:ascii="Times New Roman" w:cs="Times New Roman" w:hAnsi="Times New Roman"/>
          <w:sz w:val="20"/>
          <w:szCs w:val="20"/>
        </w:rPr>
        <w:t>.</w:t>
      </w:r>
      <w:r>
        <w:rPr>
          <w:rFonts w:ascii="Times New Roman" w:cs="Times New Roman" w:hAnsi="Times New Roman"/>
          <w:sz w:val="20"/>
          <w:szCs w:val="20"/>
        </w:rPr>
        <w:t xml:space="preserve">In case of age </w:t>
      </w:r>
      <w:r>
        <w:rPr>
          <w:rFonts w:ascii="Times New Roman" w:cs="Times New Roman" w:hAnsi="Times New Roman"/>
          <w:color w:val="000000"/>
          <w:sz w:val="20"/>
          <w:szCs w:val="20"/>
        </w:rPr>
        <w:t>530(57</w:t>
      </w:r>
      <w:r>
        <w:rPr>
          <w:rFonts w:ascii="Times New Roman" w:cs="Times New Roman" w:hAnsi="Times New Roman"/>
          <w:sz w:val="20"/>
          <w:szCs w:val="20"/>
        </w:rPr>
        <w:t>%</w:t>
      </w:r>
      <w:r>
        <w:rPr>
          <w:rFonts w:ascii="Times New Roman" w:cs="Times New Roman" w:hAnsi="Times New Roman"/>
          <w:color w:val="000000"/>
          <w:sz w:val="20"/>
          <w:szCs w:val="20"/>
        </w:rPr>
        <w:t>)</w:t>
      </w:r>
      <w:r>
        <w:rPr>
          <w:rFonts w:ascii="Times New Roman" w:cs="Times New Roman" w:hAnsi="Times New Roman"/>
          <w:sz w:val="20"/>
          <w:szCs w:val="20"/>
        </w:rPr>
        <w:t xml:space="preserve">of the patients were less than 40 years old, death proportion were 13.2%. </w:t>
      </w:r>
      <w:r>
        <w:rPr>
          <w:rFonts w:ascii="Times New Roman" w:cs="Times New Roman" w:hAnsi="Times New Roman"/>
          <w:sz w:val="20"/>
          <w:szCs w:val="20"/>
        </w:rPr>
        <w:t>The residence</w:t>
      </w:r>
      <w:r>
        <w:rPr>
          <w:rFonts w:ascii="Times New Roman" w:cs="Times New Roman" w:hAnsi="Times New Roman"/>
          <w:sz w:val="20"/>
          <w:szCs w:val="20"/>
        </w:rPr>
        <w:t xml:space="preserve"> of the </w:t>
      </w:r>
      <w:r>
        <w:rPr>
          <w:rFonts w:ascii="Times New Roman" w:cs="Times New Roman" w:hAnsi="Times New Roman"/>
          <w:sz w:val="20"/>
          <w:szCs w:val="20"/>
        </w:rPr>
        <w:t xml:space="preserve">patients </w:t>
      </w:r>
      <w:r>
        <w:rPr>
          <w:rFonts w:ascii="Times New Roman" w:cs="Times New Roman" w:hAnsi="Times New Roman" w:eastAsiaTheme="minorHAnsi"/>
          <w:sz w:val="20"/>
          <w:szCs w:val="20"/>
        </w:rPr>
        <w:t>were</w:t>
      </w:r>
      <w:r>
        <w:rPr>
          <w:rFonts w:ascii="Times New Roman" w:cs="Times New Roman" w:hAnsi="Times New Roman"/>
          <w:color w:val="000000"/>
          <w:sz w:val="20"/>
          <w:szCs w:val="20"/>
        </w:rPr>
        <w:t>481</w:t>
      </w:r>
      <w:r>
        <w:rPr>
          <w:rFonts w:ascii="Times New Roman" w:cs="Times New Roman" w:hAnsi="Times New Roman"/>
          <w:color w:val="000000"/>
          <w:sz w:val="20"/>
          <w:szCs w:val="20"/>
        </w:rPr>
        <w:t>(51.5</w:t>
      </w:r>
      <w:r>
        <w:rPr>
          <w:rFonts w:ascii="Times New Roman" w:cs="Times New Roman" w:hAnsi="Times New Roman"/>
          <w:color w:val="000000"/>
          <w:sz w:val="20"/>
          <w:szCs w:val="20"/>
        </w:rPr>
        <w:t>%)</w:t>
      </w:r>
      <w:r>
        <w:rPr>
          <w:rFonts w:ascii="Times New Roman" w:cs="Times New Roman" w:hAnsi="Times New Roman" w:eastAsiaTheme="minorHAnsi"/>
          <w:sz w:val="20"/>
          <w:szCs w:val="20"/>
        </w:rPr>
        <w:t xml:space="preserve">  lived in rural</w:t>
      </w:r>
      <w:r>
        <w:rPr>
          <w:rFonts w:ascii="Times New Roman" w:cs="Times New Roman" w:hAnsi="Times New Roman"/>
          <w:sz w:val="20"/>
          <w:szCs w:val="20"/>
        </w:rPr>
        <w:t>out of Hossana town, death proportion were 15.8% .</w:t>
      </w:r>
      <w:r>
        <w:rPr>
          <w:rFonts w:ascii="Times New Roman" w:cs="Times New Roman" w:hAnsi="Times New Roman"/>
          <w:sz w:val="20"/>
          <w:szCs w:val="20"/>
        </w:rPr>
        <w:t xml:space="preserve"> </w:t>
      </w:r>
      <w:r>
        <w:rPr>
          <w:rFonts w:ascii="Times New Roman" w:cs="Times New Roman" w:hAnsi="Times New Roman"/>
          <w:sz w:val="20"/>
          <w:szCs w:val="20"/>
        </w:rPr>
        <w:t>The mean survival time of patients based on different socio-demograph</w:t>
      </w:r>
      <w:r>
        <w:rPr>
          <w:rFonts w:ascii="Times New Roman" w:cs="Times New Roman" w:hAnsi="Times New Roman"/>
          <w:sz w:val="20"/>
          <w:szCs w:val="20"/>
        </w:rPr>
        <w:t xml:space="preserve">ic and clinical variables </w:t>
      </w:r>
      <w:r>
        <w:rPr>
          <w:rFonts w:ascii="Times New Roman" w:cs="Times New Roman" w:hAnsi="Times New Roman"/>
          <w:sz w:val="20"/>
          <w:szCs w:val="20"/>
        </w:rPr>
        <w:t>are summarized in Table 4</w:t>
      </w:r>
      <w:r>
        <w:rPr>
          <w:rFonts w:ascii="Times New Roman" w:cs="Times New Roman" w:hAnsi="Times New Roman"/>
          <w:sz w:val="20"/>
          <w:szCs w:val="20"/>
        </w:rPr>
        <w:t>.1</w:t>
      </w:r>
      <w:r>
        <w:rPr>
          <w:rFonts w:ascii="Times New Roman" w:cs="Times New Roman" w:hAnsi="Times New Roman"/>
          <w:sz w:val="20"/>
          <w:szCs w:val="20"/>
        </w:rPr>
        <w:t>belo</w:t>
      </w:r>
      <w:r>
        <w:rPr>
          <w:rFonts w:ascii="Times New Roman" w:cs="Times New Roman" w:hAnsi="Times New Roman"/>
          <w:sz w:val="20"/>
          <w:szCs w:val="20"/>
        </w:rPr>
        <w:t>w</w:t>
      </w:r>
    </w:p>
    <w:bookmarkStart w:id="230" w:name="_Toc451493916"/>
    <w:bookmarkStart w:id="231" w:name="_Toc451494717"/>
    <w:bookmarkStart w:id="232" w:name="_Toc451496311"/>
    <w:bookmarkStart w:id="233" w:name="_Toc451496814"/>
    <w:bookmarkStart w:id="234" w:name="_Toc451522859"/>
    <w:bookmarkStart w:id="235" w:name="_Toc451742100"/>
    <w:bookmarkStart w:id="236" w:name="_Toc451742841"/>
    <w:bookmarkStart w:id="237" w:name="_Toc452191102"/>
    <w:bookmarkStart w:id="238" w:name="_Toc452191651"/>
    <w:bookmarkStart w:id="239" w:name="_Toc452195072"/>
    <w:bookmarkStart w:id="240" w:name="_Toc450288345"/>
    <w:bookmarkStart w:id="241" w:name="_Toc450291575"/>
    <w:bookmarkStart w:id="242" w:name="_Toc450292794"/>
    <w:bookmarkStart w:id="243" w:name="_Toc450294521"/>
    <w:bookmarkStart w:id="244" w:name="_Toc450294904"/>
    <w:bookmarkStart w:id="245" w:name="_Toc450525927"/>
    <w:bookmarkStart w:id="246" w:name="_Toc450724163"/>
    <w:bookmarkStart w:id="247" w:name="_Toc450724408"/>
    <w:p>
      <w:pPr>
        <w:pStyle w:val="style1"/>
        <w:spacing w:lineRule="auto" w:line="240"/>
        <w:ind w:firstLine="270" w:left="-270"/>
        <w:rPr>
          <w:rFonts w:ascii="Times New Roman" w:cs="Times New Roman" w:hAnsi="Times New Roman"/>
          <w:b w:val="false"/>
          <w:color w:val="auto"/>
          <w:sz w:val="20"/>
          <w:szCs w:val="20"/>
        </w:rPr>
      </w:pPr>
      <w:r>
        <w:rPr>
          <w:rFonts w:ascii="Times New Roman" w:cs="Times New Roman" w:hAnsi="Times New Roman"/>
          <w:color w:val="auto"/>
          <w:sz w:val="20"/>
          <w:szCs w:val="20"/>
        </w:rPr>
        <w:t>Table 4.1</w:t>
      </w:r>
      <w:r>
        <w:rPr>
          <w:rFonts w:ascii="Times New Roman" w:cs="Times New Roman" w:hAnsi="Times New Roman"/>
          <w:b w:val="false"/>
          <w:color w:val="auto"/>
          <w:sz w:val="20"/>
          <w:szCs w:val="20"/>
        </w:rPr>
        <w:t xml:space="preserve">: </w:t>
      </w:r>
      <w:r>
        <w:rPr>
          <w:rFonts w:ascii="Times New Roman" w:hAnsi="Times New Roman"/>
          <w:b w:val="false"/>
          <w:color w:val="auto"/>
          <w:sz w:val="20"/>
          <w:szCs w:val="20"/>
        </w:rPr>
        <w:t>Summary of descriptive statistics for</w:t>
      </w:r>
      <w:r>
        <w:rPr>
          <w:rFonts w:ascii="Times New Roman" w:cs="Times New Roman" w:hAnsi="Times New Roman"/>
          <w:b w:val="false"/>
          <w:color w:val="auto"/>
          <w:sz w:val="20"/>
          <w:szCs w:val="20"/>
        </w:rPr>
        <w:t xml:space="preserve"> Socio-Demographic and clinical Variables</w:t>
      </w:r>
      <w:bookmarkEnd w:id="230"/>
      <w:bookmarkEnd w:id="231"/>
      <w:bookmarkEnd w:id="232"/>
      <w:bookmarkEnd w:id="233"/>
      <w:bookmarkEnd w:id="234"/>
      <w:bookmarkEnd w:id="235"/>
      <w:bookmarkEnd w:id="236"/>
      <w:bookmarkEnd w:id="237"/>
      <w:bookmarkEnd w:id="238"/>
      <w:bookmarkEnd w:id="239"/>
    </w:p>
    <w:tbl>
      <w:tblPr>
        <w:tblW w:w="10080" w:type="dxa"/>
        <w:jc w:val="left"/>
        <w:tblInd w:w="-265" w:type="dxa"/>
        <w:tblLayout w:type="fixed"/>
        <w:tblCellMar>
          <w:left w:w="0" w:type="dxa"/>
          <w:right w:w="0" w:type="dxa"/>
        </w:tblCellMar>
        <w:tblLook w:firstRow="0" w:lastRow="0" w:firstColumn="0" w:lastColumn="0" w:noHBand="0" w:noVBand="1"/>
      </w:tblPr>
      <w:tblGrid>
        <w:gridCol w:w="1710"/>
        <w:gridCol w:w="1800"/>
        <w:gridCol w:w="1260"/>
        <w:gridCol w:w="1250"/>
        <w:gridCol w:w="93"/>
        <w:gridCol w:w="1177"/>
        <w:gridCol w:w="990"/>
        <w:gridCol w:w="1800"/>
      </w:tblGrid>
      <w:tr>
        <w:trPr>
          <w:cantSplit/>
          <w:trHeight w:val="359" w:hRule="atLeast"/>
          <w:jc w:val="left"/>
        </w:trPr>
        <w:tc>
          <w:tcPr>
            <w:tcW w:w="3510" w:type="dxa"/>
            <w:gridSpan w:val="2"/>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p>
          <w:p>
            <w:pPr>
              <w:pStyle w:val="style0"/>
              <w:spacing w:after="0" w:lineRule="auto" w:line="240"/>
              <w:ind w:firstLine="270" w:left="-270"/>
              <w:rPr>
                <w:rFonts w:ascii="Times New Roman" w:cs="Times New Roman" w:hAnsi="Times New Roman"/>
                <w:b/>
                <w:sz w:val="20"/>
                <w:szCs w:val="20"/>
              </w:rPr>
            </w:pPr>
            <w:r>
              <w:rPr>
                <w:rFonts w:ascii="Times New Roman" w:cs="Times New Roman" w:hAnsi="Times New Roman"/>
                <w:b/>
                <w:sz w:val="20"/>
                <w:szCs w:val="20"/>
              </w:rPr>
              <w:t>Covariates            categories</w:t>
            </w:r>
          </w:p>
        </w:tc>
        <w:tc>
          <w:tcPr>
            <w:tcW w:w="3780" w:type="dxa"/>
            <w:gridSpan w:val="4"/>
            <w:tcBorders>
              <w:top w:val="single" w:sz="12" w:space="0" w:color="auto"/>
              <w:bottom w:val="single" w:sz="4" w:space="0" w:color="auto"/>
            </w:tcBorders>
            <w:shd w:val="clear" w:color="auto" w:fill="ffffff"/>
            <w:tcFitText w:val="false"/>
          </w:tcPr>
          <w:p>
            <w:pPr>
              <w:pStyle w:val="style4097"/>
              <w:ind w:firstLine="270" w:left="-270"/>
              <w:rPr>
                <w:rFonts w:ascii="Times New Roman" w:cs="Times New Roman" w:hAnsi="Times New Roman"/>
                <w:b/>
                <w:sz w:val="20"/>
                <w:szCs w:val="20"/>
              </w:rPr>
            </w:pPr>
            <w:r>
              <w:rPr>
                <w:rFonts w:ascii="Times New Roman" w:cs="Times New Roman" w:hAnsi="Times New Roman"/>
                <w:b/>
                <w:sz w:val="20"/>
                <w:szCs w:val="20"/>
              </w:rPr>
              <w:t xml:space="preserve">                  Status of patients </w:t>
            </w:r>
          </w:p>
        </w:tc>
        <w:tc>
          <w:tcPr>
            <w:tcW w:w="990" w:type="dxa"/>
            <w:vMerge w:val="restart"/>
            <w:tcBorders>
              <w:top w:val="single" w:sz="12" w:space="0" w:color="auto"/>
            </w:tcBorders>
            <w:shd w:val="clear" w:color="auto" w:fill="ffffff"/>
            <w:tcFitText w:val="false"/>
          </w:tcPr>
          <w:p>
            <w:pPr>
              <w:pStyle w:val="style4097"/>
              <w:ind w:firstLine="270" w:left="-270"/>
              <w:jc w:val="right"/>
              <w:rPr>
                <w:rFonts w:ascii="Times New Roman" w:cs="Times New Roman" w:hAnsi="Times New Roman"/>
                <w:b/>
                <w:sz w:val="20"/>
                <w:szCs w:val="20"/>
              </w:rPr>
            </w:pPr>
          </w:p>
          <w:p>
            <w:pPr>
              <w:pStyle w:val="style4097"/>
              <w:ind w:firstLine="270" w:left="-270"/>
              <w:jc w:val="right"/>
              <w:rPr>
                <w:rFonts w:ascii="Times New Roman" w:cs="Times New Roman" w:hAnsi="Times New Roman"/>
                <w:b/>
                <w:sz w:val="20"/>
                <w:szCs w:val="20"/>
              </w:rPr>
            </w:pPr>
          </w:p>
          <w:p>
            <w:pPr>
              <w:pStyle w:val="style4097"/>
              <w:ind w:firstLine="270" w:left="-270"/>
              <w:jc w:val="right"/>
              <w:rPr>
                <w:rFonts w:ascii="Times New Roman" w:cs="Times New Roman" w:hAnsi="Times New Roman"/>
                <w:b/>
                <w:sz w:val="20"/>
                <w:szCs w:val="20"/>
              </w:rPr>
            </w:pPr>
            <w:r>
              <w:rPr>
                <w:rFonts w:ascii="Times New Roman" w:cs="Times New Roman" w:hAnsi="Times New Roman"/>
                <w:b/>
                <w:sz w:val="20"/>
                <w:szCs w:val="20"/>
              </w:rPr>
              <w:t xml:space="preserve">Mean </w:t>
            </w:r>
          </w:p>
        </w:tc>
        <w:tc>
          <w:tcPr>
            <w:tcW w:w="1800" w:type="dxa"/>
            <w:vMerge w:val="restart"/>
            <w:tcBorders>
              <w:top w:val="single" w:sz="12" w:space="0" w:color="auto"/>
            </w:tcBorders>
            <w:shd w:val="clear" w:color="auto" w:fill="ffffff"/>
            <w:tcFitText w:val="false"/>
          </w:tcPr>
          <w:p>
            <w:pPr>
              <w:pStyle w:val="style4097"/>
              <w:ind w:firstLine="270" w:left="-270"/>
              <w:jc w:val="center"/>
              <w:rPr>
                <w:rFonts w:ascii="Times New Roman" w:cs="Times New Roman" w:hAnsi="Times New Roman"/>
                <w:sz w:val="20"/>
                <w:szCs w:val="20"/>
              </w:rPr>
            </w:pPr>
          </w:p>
          <w:p>
            <w:pPr>
              <w:pStyle w:val="style4097"/>
              <w:ind w:firstLine="270" w:left="-270"/>
              <w:jc w:val="center"/>
              <w:rPr>
                <w:rFonts w:ascii="Times New Roman" w:cs="Times New Roman" w:hAnsi="Times New Roman"/>
                <w:sz w:val="20"/>
                <w:szCs w:val="20"/>
              </w:rPr>
            </w:pPr>
          </w:p>
          <w:p>
            <w:pPr>
              <w:pStyle w:val="style4097"/>
              <w:ind w:firstLine="270" w:left="-270"/>
              <w:jc w:val="center"/>
              <w:rPr>
                <w:rFonts w:ascii="Times New Roman" w:cs="Times New Roman" w:hAnsi="Times New Roman"/>
                <w:sz w:val="20"/>
                <w:szCs w:val="20"/>
              </w:rPr>
            </w:pPr>
            <w:r>
              <w:rPr>
                <w:rFonts w:ascii="Times New Roman" w:cs="Times New Roman" w:hAnsi="Times New Roman"/>
                <w:sz w:val="20"/>
                <w:szCs w:val="20"/>
              </w:rPr>
              <w:t>95% C</w:t>
            </w:r>
            <w:r>
              <w:rPr>
                <w:rFonts w:ascii="Times New Roman" w:cs="Times New Roman" w:hAnsi="Times New Roman"/>
                <w:sz w:val="20"/>
                <w:szCs w:val="20"/>
              </w:rPr>
              <w:t>I</w:t>
            </w:r>
          </w:p>
        </w:tc>
      </w:tr>
      <w:tr>
        <w:tblPrEx/>
        <w:trPr>
          <w:cantSplit/>
          <w:trHeight w:val="706" w:hRule="atLeast"/>
          <w:jc w:val="left"/>
        </w:trPr>
        <w:tc>
          <w:tcPr>
            <w:tcW w:w="3510" w:type="dxa"/>
            <w:gridSpan w:val="2"/>
            <w:vMerge w:val="continue"/>
            <w:tcBorders>
              <w:bottom w:val="single" w:sz="24" w:space="0" w:color="auto"/>
            </w:tcBorders>
            <w:shd w:val="clear" w:color="auto" w:fill="ffffff"/>
            <w:tcFitText w:val="false"/>
          </w:tcPr>
          <w:p>
            <w:pPr>
              <w:pStyle w:val="style0"/>
              <w:autoSpaceDE w:val="false"/>
              <w:autoSpaceDN w:val="false"/>
              <w:adjustRightInd w:val="false"/>
              <w:spacing w:after="0" w:lineRule="auto" w:line="240"/>
              <w:ind w:firstLine="270" w:left="-270"/>
              <w:rPr>
                <w:rFonts w:ascii="Times New Roman" w:cs="Times New Roman" w:hAnsi="Times New Roman"/>
                <w:b/>
                <w:color w:val="000000"/>
                <w:sz w:val="20"/>
                <w:szCs w:val="20"/>
              </w:rPr>
            </w:pPr>
          </w:p>
        </w:tc>
        <w:tc>
          <w:tcPr>
            <w:tcW w:w="1260" w:type="dxa"/>
            <w:tcBorders>
              <w:top w:val="single" w:sz="4" w:space="0" w:color="auto"/>
              <w:bottom w:val="single" w:sz="24" w:space="0" w:color="auto"/>
              <w:right w:val="single" w:sz="4" w:space="0" w:color="auto"/>
            </w:tcBorders>
            <w:shd w:val="clear" w:color="auto" w:fill="ffffff"/>
            <w:tcFitText w:val="false"/>
          </w:tcPr>
          <w:p>
            <w:pPr>
              <w:pStyle w:val="style4097"/>
              <w:ind w:firstLine="270" w:left="-270"/>
              <w:jc w:val="center"/>
              <w:rPr>
                <w:rFonts w:ascii="Times New Roman" w:cs="Times New Roman" w:hAnsi="Times New Roman"/>
                <w:sz w:val="20"/>
                <w:szCs w:val="20"/>
              </w:rPr>
            </w:pPr>
            <w:r>
              <w:rPr>
                <w:rFonts w:ascii="Times New Roman" w:cs="Times New Roman" w:hAnsi="Times New Roman"/>
                <w:sz w:val="20"/>
                <w:szCs w:val="20"/>
              </w:rPr>
              <w:t>Total</w:t>
            </w:r>
          </w:p>
        </w:tc>
        <w:tc>
          <w:tcPr>
            <w:tcW w:w="1250" w:type="dxa"/>
            <w:tcBorders>
              <w:top w:val="single" w:sz="4" w:space="0" w:color="auto"/>
              <w:left w:val="single" w:sz="4" w:space="0" w:color="auto"/>
              <w:bottom w:val="single" w:sz="24" w:space="0" w:color="auto"/>
            </w:tcBorders>
            <w:shd w:val="clear" w:color="auto" w:fill="ffffff"/>
            <w:tcFitText w:val="false"/>
          </w:tcPr>
          <w:p>
            <w:pPr>
              <w:pStyle w:val="style4097"/>
              <w:ind w:firstLine="270" w:left="-270"/>
              <w:jc w:val="center"/>
              <w:rPr>
                <w:rFonts w:ascii="Times New Roman" w:cs="Times New Roman" w:hAnsi="Times New Roman"/>
                <w:sz w:val="20"/>
                <w:szCs w:val="20"/>
              </w:rPr>
            </w:pPr>
            <w:r>
              <w:rPr>
                <w:rFonts w:ascii="Times New Roman" w:cs="Times New Roman" w:hAnsi="Times New Roman"/>
                <w:sz w:val="20"/>
                <w:szCs w:val="20"/>
              </w:rPr>
              <w:t>Number</w:t>
            </w:r>
          </w:p>
          <w:p>
            <w:pPr>
              <w:pStyle w:val="style4097"/>
              <w:ind w:firstLine="270" w:left="-270"/>
              <w:jc w:val="center"/>
              <w:rPr>
                <w:rFonts w:ascii="Times New Roman" w:cs="Times New Roman" w:hAnsi="Times New Roman"/>
                <w:sz w:val="20"/>
                <w:szCs w:val="20"/>
              </w:rPr>
            </w:pPr>
            <w:r>
              <w:rPr>
                <w:rFonts w:ascii="Times New Roman" w:cs="Times New Roman" w:hAnsi="Times New Roman"/>
                <w:sz w:val="20"/>
                <w:szCs w:val="20"/>
              </w:rPr>
              <w:t>of censored</w:t>
            </w:r>
          </w:p>
        </w:tc>
        <w:tc>
          <w:tcPr>
            <w:tcW w:w="93" w:type="dxa"/>
            <w:tcBorders>
              <w:top w:val="single" w:sz="4" w:space="0" w:color="auto"/>
              <w:left w:val="single" w:sz="4" w:space="0" w:color="auto"/>
              <w:bottom w:val="single" w:sz="24" w:space="0" w:color="auto"/>
            </w:tcBorders>
            <w:shd w:val="clear" w:color="auto" w:fill="ffffff"/>
            <w:tcFitText w:val="false"/>
          </w:tcPr>
          <w:p>
            <w:pPr>
              <w:pStyle w:val="style0"/>
              <w:spacing w:after="0" w:lineRule="auto" w:line="240"/>
              <w:ind w:firstLine="270" w:left="-270"/>
              <w:jc w:val="center"/>
              <w:rPr>
                <w:rFonts w:ascii="Times New Roman" w:cs="Times New Roman" w:hAnsi="Times New Roman"/>
                <w:color w:val="000000"/>
                <w:sz w:val="20"/>
                <w:szCs w:val="20"/>
              </w:rPr>
            </w:pPr>
          </w:p>
          <w:p>
            <w:pPr>
              <w:pStyle w:val="style4097"/>
              <w:ind w:firstLine="270" w:left="-270"/>
              <w:jc w:val="center"/>
              <w:rPr>
                <w:rFonts w:ascii="Times New Roman" w:cs="Times New Roman" w:hAnsi="Times New Roman"/>
                <w:sz w:val="20"/>
                <w:szCs w:val="20"/>
              </w:rPr>
            </w:pPr>
          </w:p>
        </w:tc>
        <w:tc>
          <w:tcPr>
            <w:tcW w:w="1177" w:type="dxa"/>
            <w:tcBorders>
              <w:top w:val="single" w:sz="4" w:space="0" w:color="auto"/>
              <w:bottom w:val="single" w:sz="24" w:space="0" w:color="auto"/>
            </w:tcBorders>
            <w:shd w:val="clear" w:color="auto" w:fill="ffffff"/>
            <w:tcFitText w:val="false"/>
          </w:tcPr>
          <w:p>
            <w:pPr>
              <w:pStyle w:val="style4097"/>
              <w:ind w:firstLine="270" w:left="-270"/>
              <w:jc w:val="center"/>
              <w:rPr>
                <w:rFonts w:ascii="Times New Roman" w:cs="Times New Roman" w:hAnsi="Times New Roman"/>
                <w:sz w:val="20"/>
                <w:szCs w:val="20"/>
              </w:rPr>
            </w:pPr>
            <w:r>
              <w:rPr>
                <w:rFonts w:ascii="Times New Roman" w:cs="Times New Roman" w:hAnsi="Times New Roman"/>
                <w:sz w:val="20"/>
                <w:szCs w:val="20"/>
              </w:rPr>
              <w:t xml:space="preserve">Number </w:t>
            </w:r>
          </w:p>
          <w:p>
            <w:pPr>
              <w:pStyle w:val="style4097"/>
              <w:ind w:firstLine="270" w:left="-270"/>
              <w:rPr>
                <w:rFonts w:ascii="Times New Roman" w:cs="Times New Roman" w:hAnsi="Times New Roman"/>
                <w:sz w:val="20"/>
                <w:szCs w:val="20"/>
              </w:rPr>
            </w:pPr>
            <w:r>
              <w:rPr>
                <w:rFonts w:ascii="Times New Roman" w:cs="Times New Roman" w:hAnsi="Times New Roman"/>
                <w:sz w:val="20"/>
                <w:szCs w:val="20"/>
              </w:rPr>
              <w:t>Ofdeath</w:t>
            </w:r>
          </w:p>
        </w:tc>
        <w:tc>
          <w:tcPr>
            <w:tcW w:w="990" w:type="dxa"/>
            <w:vMerge w:val="continue"/>
            <w:tcBorders>
              <w:left w:val="nil"/>
              <w:bottom w:val="single" w:sz="24" w:space="0" w:color="auto"/>
            </w:tcBorders>
            <w:shd w:val="clear" w:color="auto" w:fill="ffffff"/>
            <w:tcFitText w:val="false"/>
          </w:tcPr>
          <w:p>
            <w:pPr>
              <w:pStyle w:val="style4097"/>
              <w:ind w:firstLine="270" w:left="-270"/>
              <w:jc w:val="right"/>
              <w:rPr>
                <w:rFonts w:ascii="Times New Roman" w:cs="Times New Roman" w:hAnsi="Times New Roman"/>
                <w:sz w:val="20"/>
                <w:szCs w:val="20"/>
              </w:rPr>
            </w:pPr>
          </w:p>
        </w:tc>
        <w:tc>
          <w:tcPr>
            <w:tcW w:w="1800" w:type="dxa"/>
            <w:vMerge w:val="continue"/>
            <w:tcBorders>
              <w:bottom w:val="single" w:sz="24" w:space="0" w:color="auto"/>
            </w:tcBorders>
            <w:shd w:val="clear" w:color="auto" w:fill="ffffff"/>
            <w:tcFitText w:val="false"/>
          </w:tcPr>
          <w:p>
            <w:pPr>
              <w:pStyle w:val="style4097"/>
              <w:ind w:firstLine="270" w:left="-270"/>
              <w:jc w:val="right"/>
              <w:rPr>
                <w:rFonts w:ascii="Times New Roman" w:cs="Times New Roman" w:hAnsi="Times New Roman"/>
                <w:sz w:val="20"/>
                <w:szCs w:val="20"/>
              </w:rPr>
            </w:pP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Base line weight </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less than 50kg</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363(39</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293(80.7</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70</w:t>
            </w:r>
            <w:r>
              <w:rPr>
                <w:rFonts w:ascii="Times New Roman" w:cs="Times New Roman" w:hAnsi="Times New Roman"/>
                <w:color w:val="000000"/>
                <w:sz w:val="20"/>
                <w:szCs w:val="20"/>
              </w:rPr>
              <w:t>(19.3</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48.99</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(46.84 , 51.16)</w:t>
            </w:r>
          </w:p>
        </w:tc>
      </w:tr>
      <w:tr>
        <w:tblPrEx/>
        <w:trPr>
          <w:cantSplit/>
          <w:jc w:val="left"/>
        </w:trPr>
        <w:tc>
          <w:tcPr>
            <w:tcW w:w="1710" w:type="dxa"/>
            <w:vMerge w:val="continue"/>
            <w:tcBorders>
              <w:top w:val="single" w:sz="4" w:space="0" w:color="auto"/>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50kg or above</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570(61</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497(87.2</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73</w:t>
            </w:r>
            <w:r>
              <w:rPr>
                <w:rFonts w:ascii="Times New Roman" w:cs="Times New Roman" w:hAnsi="Times New Roman"/>
                <w:color w:val="000000"/>
                <w:sz w:val="20"/>
                <w:szCs w:val="20"/>
              </w:rPr>
              <w:t>(12.8</w:t>
            </w:r>
            <w:r>
              <w:rPr>
                <w:sz w:val="20"/>
                <w:szCs w:val="20"/>
              </w:rPr>
              <w:t>%</w:t>
            </w:r>
            <w:r>
              <w:rPr>
                <w:rFonts w:ascii="Times New Roman" w:cs="Times New Roman" w:hAnsi="Times New Roman"/>
                <w:color w:val="000000"/>
                <w:sz w:val="20"/>
                <w:szCs w:val="20"/>
              </w:rPr>
              <w:t>)</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52.98</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(51.55 , 54.42)</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Marital status </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Single</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226(24.2</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187(82.7</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39(17.3</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47.84</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(44.58 , 51.10)</w:t>
            </w:r>
          </w:p>
        </w:tc>
      </w:tr>
      <w:tr>
        <w:tblPrEx/>
        <w:trPr>
          <w:cantSplit/>
          <w:jc w:val="left"/>
        </w:trPr>
        <w:tc>
          <w:tcPr>
            <w:tcW w:w="1710" w:type="dxa"/>
            <w:vMerge w:val="continue"/>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Married</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526(56.4</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453(86</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73(14</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52.78</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(51.32 , 54.24)</w:t>
            </w:r>
          </w:p>
        </w:tc>
      </w:tr>
      <w:tr>
        <w:tblPrEx/>
        <w:trPr>
          <w:cantSplit/>
          <w:jc w:val="left"/>
        </w:trPr>
        <w:tc>
          <w:tcPr>
            <w:tcW w:w="1710" w:type="dxa"/>
            <w:vMerge w:val="continue"/>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Divorced</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80(8.6</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63(79</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17(21</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48.57</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(44.23 , 52.93)</w:t>
            </w:r>
          </w:p>
        </w:tc>
      </w:tr>
      <w:tr>
        <w:tblPrEx/>
        <w:trPr>
          <w:cantSplit/>
          <w:trHeight w:val="185" w:hRule="atLeast"/>
          <w:jc w:val="left"/>
        </w:trPr>
        <w:tc>
          <w:tcPr>
            <w:tcW w:w="1710" w:type="dxa"/>
            <w:vMerge w:val="continue"/>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Windowed</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59(6.3</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50(84.7</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9(15.3</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51.86</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(47.68 , 56.04)</w:t>
            </w:r>
          </w:p>
        </w:tc>
      </w:tr>
      <w:tr>
        <w:tblPrEx/>
        <w:trPr>
          <w:cantSplit/>
          <w:jc w:val="left"/>
        </w:trPr>
        <w:tc>
          <w:tcPr>
            <w:tcW w:w="1710" w:type="dxa"/>
            <w:vMerge w:val="continue"/>
            <w:tcBorders>
              <w:top w:val="single" w:sz="4" w:space="0" w:color="auto"/>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Separated</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42(4.5</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37(88</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5(12</w:t>
            </w:r>
            <w:r>
              <w:rPr>
                <w:sz w:val="20"/>
                <w:szCs w:val="20"/>
              </w:rPr>
              <w:t>%</w:t>
            </w:r>
            <w:r>
              <w:rPr>
                <w:rFonts w:ascii="Times New Roman" w:cs="Times New Roman" w:hAnsi="Times New Roman"/>
                <w:color w:val="000000"/>
                <w:sz w:val="20"/>
                <w:szCs w:val="20"/>
              </w:rPr>
              <w:t>)</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54.86</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(50.58 , 59.14)</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Functional status </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Working</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608(65</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529(87</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79(13</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52.71</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(51.28 , 54.15)</w:t>
            </w:r>
          </w:p>
        </w:tc>
      </w:tr>
      <w:tr>
        <w:tblPrEx/>
        <w:trPr>
          <w:cantSplit/>
          <w:jc w:val="left"/>
        </w:trPr>
        <w:tc>
          <w:tcPr>
            <w:tcW w:w="1710" w:type="dxa"/>
            <w:vMerge w:val="continue"/>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Ambulatory</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242(26</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195(80.6</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47(19.4</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49.28</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(46.74 , 51.83)</w:t>
            </w:r>
          </w:p>
        </w:tc>
      </w:tr>
      <w:tr>
        <w:tblPrEx/>
        <w:trPr>
          <w:cantSplit/>
          <w:jc w:val="left"/>
        </w:trPr>
        <w:tc>
          <w:tcPr>
            <w:tcW w:w="1710" w:type="dxa"/>
            <w:vMerge w:val="continue"/>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Bedridden</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83(9</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66(80</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17(20</w:t>
            </w:r>
            <w:r>
              <w:rPr>
                <w:sz w:val="20"/>
                <w:szCs w:val="20"/>
              </w:rPr>
              <w:t>%</w:t>
            </w:r>
            <w:r>
              <w:rPr>
                <w:rFonts w:ascii="Times New Roman" w:cs="Times New Roman" w:hAnsi="Times New Roman"/>
                <w:color w:val="000000"/>
                <w:sz w:val="20"/>
                <w:szCs w:val="20"/>
              </w:rPr>
              <w:t>)</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49.96</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(45.96 , 53.96)</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Drug regimen </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D4T-3TC-NVP</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255(27</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207(81.2</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48(18.8</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49.80</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(47.46 , 52.14)</w:t>
            </w:r>
          </w:p>
        </w:tc>
      </w:tr>
      <w:tr>
        <w:tblPrEx/>
        <w:trPr>
          <w:cantSplit/>
          <w:jc w:val="left"/>
        </w:trPr>
        <w:tc>
          <w:tcPr>
            <w:tcW w:w="1710" w:type="dxa"/>
            <w:vMerge w:val="continue"/>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AZT-3TC-NVP</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280(30</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238(85</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42(15</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51.23</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(48.91 , 53.57)</w:t>
            </w:r>
          </w:p>
        </w:tc>
      </w:tr>
      <w:tr>
        <w:tblPrEx/>
        <w:trPr>
          <w:cantSplit/>
          <w:trHeight w:val="35" w:hRule="atLeast"/>
          <w:jc w:val="left"/>
        </w:trPr>
        <w:tc>
          <w:tcPr>
            <w:tcW w:w="1710" w:type="dxa"/>
            <w:vMerge w:val="continue"/>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TDF-3TC-EFV</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398(43</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345(86.7</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53(13.3</w:t>
            </w:r>
            <w:r>
              <w:rPr>
                <w:sz w:val="20"/>
                <w:szCs w:val="20"/>
              </w:rPr>
              <w:t>%</w:t>
            </w:r>
            <w:r>
              <w:rPr>
                <w:rFonts w:ascii="Times New Roman" w:cs="Times New Roman" w:hAnsi="Times New Roman"/>
                <w:color w:val="000000"/>
                <w:sz w:val="20"/>
                <w:szCs w:val="20"/>
              </w:rPr>
              <w:t>)</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52.68</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(50.92 , 54.45)</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Education level </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no education</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234(25</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183(78</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51(22</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47.35</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(44.68 , 50.06)</w:t>
            </w:r>
          </w:p>
        </w:tc>
      </w:tr>
      <w:tr>
        <w:tblPrEx/>
        <w:trPr>
          <w:cantSplit/>
          <w:jc w:val="left"/>
        </w:trPr>
        <w:tc>
          <w:tcPr>
            <w:tcW w:w="1710" w:type="dxa"/>
            <w:vMerge w:val="continue"/>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Primary</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383(41</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324(84.6</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59(15.4</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52.09</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(50.32 , 53.86)</w:t>
            </w:r>
          </w:p>
        </w:tc>
      </w:tr>
      <w:tr>
        <w:tblPrEx/>
        <w:trPr>
          <w:cantSplit/>
          <w:jc w:val="left"/>
        </w:trPr>
        <w:tc>
          <w:tcPr>
            <w:tcW w:w="1710" w:type="dxa"/>
            <w:vMerge w:val="continue"/>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secondary and above</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316(34</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283(89.6</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33(10.4</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53.86</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(51.93 , 55.80)</w:t>
            </w:r>
          </w:p>
        </w:tc>
      </w:tr>
      <w:tr>
        <w:tblPrEx/>
        <w:trPr>
          <w:cantSplit/>
          <w:trHeight w:val="315" w:hRule="atLeas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ART Adherence </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Poor</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174(18.6</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132(75.8</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42(24.2</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49.38</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(47.22  , 51.54)</w:t>
            </w:r>
          </w:p>
        </w:tc>
      </w:tr>
      <w:tr>
        <w:tblPrEx/>
        <w:trPr>
          <w:cantSplit/>
          <w:trHeight w:val="255" w:hRule="atLeast"/>
          <w:jc w:val="left"/>
        </w:trPr>
        <w:tc>
          <w:tcPr>
            <w:tcW w:w="1710" w:type="dxa"/>
            <w:vMerge w:val="continue"/>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Good</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759(81.4</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658(86.7</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101(13.3)</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52.71</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(51.27 , 54.15)</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WHO clinical stage </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stage I</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263(28</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233(88.6</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30(11.4</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53.20</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(51.06, 55.36)</w:t>
            </w:r>
          </w:p>
        </w:tc>
      </w:tr>
      <w:tr>
        <w:tblPrEx/>
        <w:trPr>
          <w:cantSplit/>
          <w:jc w:val="left"/>
        </w:trPr>
        <w:tc>
          <w:tcPr>
            <w:tcW w:w="1710" w:type="dxa"/>
            <w:vMerge w:val="continue"/>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stage II</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279(30</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246(88.2</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33(11.8</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53.70</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(51.72, 55.68)</w:t>
            </w:r>
          </w:p>
        </w:tc>
      </w:tr>
      <w:tr>
        <w:tblPrEx/>
        <w:trPr>
          <w:cantSplit/>
          <w:trHeight w:val="365" w:hRule="atLeast"/>
          <w:jc w:val="left"/>
        </w:trPr>
        <w:tc>
          <w:tcPr>
            <w:tcW w:w="1710" w:type="dxa"/>
            <w:vMerge w:val="continue"/>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stage III</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295(31.6</w:t>
            </w:r>
            <w:r>
              <w:rPr>
                <w:sz w:val="20"/>
                <w:szCs w:val="20"/>
              </w:rPr>
              <w:t>%</w:t>
            </w:r>
            <w:r>
              <w:rPr>
                <w:rFonts w:ascii="Times New Roman" w:cs="Times New Roman" w:hAnsi="Times New Roman"/>
                <w:color w:val="000000"/>
                <w:sz w:val="20"/>
                <w:szCs w:val="20"/>
              </w:rPr>
              <w:t>)</w:t>
            </w:r>
          </w:p>
        </w:tc>
        <w:tc>
          <w:tcPr>
            <w:tcW w:w="1343" w:type="dxa"/>
            <w:gridSpan w:val="2"/>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236(80</w:t>
            </w:r>
            <w:r>
              <w:rPr>
                <w:sz w:val="20"/>
                <w:szCs w:val="20"/>
              </w:rPr>
              <w:t>%</w:t>
            </w:r>
            <w:r>
              <w:rPr>
                <w:rFonts w:ascii="Times New Roman" w:cs="Times New Roman" w:hAnsi="Times New Roman"/>
                <w:color w:val="000000"/>
                <w:sz w:val="20"/>
                <w:szCs w:val="20"/>
              </w:rPr>
              <w:t>)</w:t>
            </w:r>
          </w:p>
        </w:tc>
        <w:tc>
          <w:tcPr>
            <w:tcW w:w="1177"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59(20</w:t>
            </w:r>
            <w:r>
              <w:rPr>
                <w:sz w:val="20"/>
                <w:szCs w:val="20"/>
              </w:rPr>
              <w:t>%</w:t>
            </w:r>
            <w:r>
              <w:rPr>
                <w:rFonts w:ascii="Times New Roman" w:cs="Times New Roman" w:hAnsi="Times New Roman"/>
                <w:color w:val="000000"/>
                <w:sz w:val="20"/>
                <w:szCs w:val="20"/>
              </w:rPr>
              <w:t>)</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47.76</w:t>
            </w:r>
          </w:p>
        </w:tc>
        <w:tc>
          <w:tcPr>
            <w:tcW w:w="18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(45.46, 50.07)</w:t>
            </w:r>
          </w:p>
        </w:tc>
      </w:tr>
      <w:tr>
        <w:tblPrEx/>
        <w:trPr>
          <w:cantSplit/>
          <w:jc w:val="left"/>
        </w:trPr>
        <w:tc>
          <w:tcPr>
            <w:tcW w:w="1710" w:type="dxa"/>
            <w:vMerge w:val="continue"/>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stage IV</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96(10.4</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75(78</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21(22</w:t>
            </w:r>
            <w:r>
              <w:rPr>
                <w:sz w:val="20"/>
                <w:szCs w:val="20"/>
              </w:rPr>
              <w:t>%</w:t>
            </w:r>
            <w:r>
              <w:rPr>
                <w:rFonts w:ascii="Times New Roman" w:cs="Times New Roman" w:hAnsi="Times New Roman"/>
                <w:color w:val="000000"/>
                <w:sz w:val="20"/>
                <w:szCs w:val="20"/>
              </w:rPr>
              <w:t>)</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46.40</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(42.59 , 48.22)</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Base line CD4 cell counts</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less than 200</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426(45.7</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346(81</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80(19</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50.32</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(48.52 , 52.13)</w:t>
            </w:r>
          </w:p>
        </w:tc>
      </w:tr>
      <w:tr>
        <w:tblPrEx/>
        <w:trPr>
          <w:cantSplit/>
          <w:jc w:val="left"/>
        </w:trPr>
        <w:tc>
          <w:tcPr>
            <w:tcW w:w="1710" w:type="dxa"/>
            <w:vMerge w:val="continue"/>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200 or above</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507(54.4</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444(87.6</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63(12.4</w:t>
            </w:r>
            <w:r>
              <w:rPr>
                <w:sz w:val="20"/>
                <w:szCs w:val="20"/>
              </w:rPr>
              <w:t>%</w:t>
            </w:r>
            <w:r>
              <w:rPr>
                <w:rFonts w:ascii="Times New Roman" w:cs="Times New Roman" w:hAnsi="Times New Roman"/>
                <w:color w:val="000000"/>
                <w:sz w:val="20"/>
                <w:szCs w:val="20"/>
              </w:rPr>
              <w:t>)</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52.59</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(50.96 , 54.23)</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Substance</w:t>
            </w:r>
            <w:r>
              <w:rPr>
                <w:rFonts w:ascii="Times New Roman" w:cs="Times New Roman" w:hAnsi="Times New Roman"/>
                <w:color w:val="000000"/>
                <w:sz w:val="20"/>
                <w:szCs w:val="20"/>
              </w:rPr>
              <w:t xml:space="preserve"> use </w:t>
            </w:r>
            <w:r>
              <w:rPr>
                <w:rFonts w:ascii="Times New Roman" w:cs="Times New Roman" w:hAnsi="Times New Roman"/>
                <w:color w:val="000000"/>
                <w:sz w:val="20"/>
                <w:szCs w:val="20"/>
              </w:rPr>
              <w:t>(alcohol, soft drugs)</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No</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761(81.6</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663(87</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98(13</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52.41</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(51.06, 53.77)</w:t>
            </w:r>
          </w:p>
        </w:tc>
      </w:tr>
      <w:tr>
        <w:tblPrEx/>
        <w:trPr>
          <w:cantSplit/>
          <w:jc w:val="left"/>
        </w:trPr>
        <w:tc>
          <w:tcPr>
            <w:tcW w:w="1710" w:type="dxa"/>
            <w:vMerge w:val="continue"/>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Yes</w:t>
            </w:r>
          </w:p>
        </w:tc>
        <w:tc>
          <w:tcPr>
            <w:tcW w:w="126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172(18.4</w:t>
            </w:r>
            <w:r>
              <w:rPr>
                <w:sz w:val="20"/>
                <w:szCs w:val="20"/>
              </w:rPr>
              <w:t>%</w:t>
            </w:r>
            <w:r>
              <w:rPr>
                <w:rFonts w:ascii="Times New Roman" w:cs="Times New Roman" w:hAnsi="Times New Roman"/>
                <w:color w:val="000000"/>
                <w:sz w:val="20"/>
                <w:szCs w:val="20"/>
              </w:rPr>
              <w:t>)</w:t>
            </w:r>
          </w:p>
        </w:tc>
        <w:tc>
          <w:tcPr>
            <w:tcW w:w="1343" w:type="dxa"/>
            <w:gridSpan w:val="2"/>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127(73.8</w:t>
            </w:r>
            <w:r>
              <w:rPr>
                <w:sz w:val="20"/>
                <w:szCs w:val="20"/>
              </w:rPr>
              <w:t>%</w:t>
            </w:r>
            <w:r>
              <w:rPr>
                <w:rFonts w:ascii="Times New Roman" w:cs="Times New Roman" w:hAnsi="Times New Roman"/>
                <w:color w:val="000000"/>
                <w:sz w:val="20"/>
                <w:szCs w:val="20"/>
              </w:rPr>
              <w:t>)</w:t>
            </w:r>
          </w:p>
        </w:tc>
        <w:tc>
          <w:tcPr>
            <w:tcW w:w="1177"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45(26.2</w:t>
            </w:r>
            <w:r>
              <w:rPr>
                <w:sz w:val="20"/>
                <w:szCs w:val="20"/>
              </w:rPr>
              <w:t>%</w:t>
            </w:r>
            <w:r>
              <w:rPr>
                <w:rFonts w:ascii="Times New Roman" w:cs="Times New Roman" w:hAnsi="Times New Roman"/>
                <w:color w:val="000000"/>
                <w:sz w:val="20"/>
                <w:szCs w:val="20"/>
              </w:rPr>
              <w:t>)</w:t>
            </w:r>
          </w:p>
        </w:tc>
        <w:tc>
          <w:tcPr>
            <w:tcW w:w="99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48.47</w:t>
            </w:r>
          </w:p>
        </w:tc>
        <w:tc>
          <w:tcPr>
            <w:tcW w:w="1800" w:type="dxa"/>
            <w:tcBorders>
              <w:bottom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(45.76 , 51.18)</w:t>
            </w:r>
          </w:p>
        </w:tc>
      </w:tr>
      <w:tr>
        <w:tblPrEx/>
        <w:trPr>
          <w:cantSplit/>
          <w:jc w:val="left"/>
        </w:trPr>
        <w:tc>
          <w:tcPr>
            <w:tcW w:w="1710" w:type="dxa"/>
            <w:vMerge w:val="restart"/>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TB co-infection</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No</w:t>
            </w:r>
          </w:p>
        </w:tc>
        <w:tc>
          <w:tcPr>
            <w:tcW w:w="126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743(79.6</w:t>
            </w:r>
            <w:r>
              <w:rPr>
                <w:sz w:val="20"/>
                <w:szCs w:val="20"/>
              </w:rPr>
              <w:t>%</w:t>
            </w:r>
            <w:r>
              <w:rPr>
                <w:rFonts w:ascii="Times New Roman" w:cs="Times New Roman" w:hAnsi="Times New Roman"/>
                <w:color w:val="000000"/>
                <w:sz w:val="20"/>
                <w:szCs w:val="20"/>
              </w:rPr>
              <w:t>)</w:t>
            </w:r>
          </w:p>
        </w:tc>
        <w:tc>
          <w:tcPr>
            <w:tcW w:w="1343" w:type="dxa"/>
            <w:gridSpan w:val="2"/>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642(86.4</w:t>
            </w:r>
            <w:r>
              <w:rPr>
                <w:sz w:val="20"/>
                <w:szCs w:val="20"/>
              </w:rPr>
              <w:t>%</w:t>
            </w:r>
            <w:r>
              <w:rPr>
                <w:rFonts w:ascii="Times New Roman" w:cs="Times New Roman" w:hAnsi="Times New Roman"/>
                <w:color w:val="000000"/>
                <w:sz w:val="20"/>
                <w:szCs w:val="20"/>
              </w:rPr>
              <w:t>)</w:t>
            </w:r>
          </w:p>
        </w:tc>
        <w:tc>
          <w:tcPr>
            <w:tcW w:w="1177"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101(13.6</w:t>
            </w:r>
            <w:r>
              <w:rPr>
                <w:sz w:val="20"/>
                <w:szCs w:val="20"/>
              </w:rPr>
              <w:t>%</w:t>
            </w:r>
            <w:r>
              <w:rPr>
                <w:rFonts w:ascii="Times New Roman" w:cs="Times New Roman" w:hAnsi="Times New Roman"/>
                <w:color w:val="000000"/>
                <w:sz w:val="20"/>
                <w:szCs w:val="20"/>
              </w:rPr>
              <w:t>)</w:t>
            </w:r>
          </w:p>
        </w:tc>
        <w:tc>
          <w:tcPr>
            <w:tcW w:w="99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52.86</w:t>
            </w:r>
          </w:p>
        </w:tc>
        <w:tc>
          <w:tcPr>
            <w:tcW w:w="1800" w:type="dxa"/>
            <w:tcBorders>
              <w:top w:val="single" w:sz="4"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(51.54 , 54.18)</w:t>
            </w:r>
          </w:p>
        </w:tc>
      </w:tr>
      <w:tr>
        <w:tblPrEx/>
        <w:trPr>
          <w:cantSplit/>
          <w:trHeight w:val="338" w:hRule="atLeast"/>
          <w:jc w:val="left"/>
        </w:trPr>
        <w:tc>
          <w:tcPr>
            <w:tcW w:w="1710" w:type="dxa"/>
            <w:vMerge w:val="continue"/>
            <w:tcBorders>
              <w:top w:val="single" w:sz="4"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80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r>
              <w:rPr>
                <w:rFonts w:ascii="Times New Roman" w:cs="Times New Roman" w:hAnsi="Times New Roman"/>
                <w:color w:val="000000"/>
                <w:sz w:val="20"/>
                <w:szCs w:val="20"/>
              </w:rPr>
              <w:t>Yes</w:t>
            </w:r>
          </w:p>
        </w:tc>
        <w:tc>
          <w:tcPr>
            <w:tcW w:w="126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190(20.4</w:t>
            </w:r>
            <w:r>
              <w:rPr>
                <w:sz w:val="20"/>
                <w:szCs w:val="20"/>
              </w:rPr>
              <w:t>%</w:t>
            </w:r>
            <w:r>
              <w:rPr>
                <w:rFonts w:ascii="Times New Roman" w:cs="Times New Roman" w:hAnsi="Times New Roman"/>
                <w:color w:val="000000"/>
                <w:sz w:val="20"/>
                <w:szCs w:val="20"/>
              </w:rPr>
              <w:t>)</w:t>
            </w:r>
          </w:p>
        </w:tc>
        <w:tc>
          <w:tcPr>
            <w:tcW w:w="1343" w:type="dxa"/>
            <w:gridSpan w:val="2"/>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148(78</w:t>
            </w:r>
            <w:r>
              <w:rPr>
                <w:sz w:val="20"/>
                <w:szCs w:val="20"/>
              </w:rPr>
              <w:t>%</w:t>
            </w:r>
            <w:r>
              <w:rPr>
                <w:rFonts w:ascii="Times New Roman" w:cs="Times New Roman" w:hAnsi="Times New Roman"/>
                <w:color w:val="000000"/>
                <w:sz w:val="20"/>
                <w:szCs w:val="20"/>
              </w:rPr>
              <w:t>)</w:t>
            </w:r>
          </w:p>
        </w:tc>
        <w:tc>
          <w:tcPr>
            <w:tcW w:w="1177"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42(22</w:t>
            </w:r>
            <w:r>
              <w:rPr>
                <w:sz w:val="20"/>
                <w:szCs w:val="20"/>
              </w:rPr>
              <w:t>%</w:t>
            </w:r>
            <w:r>
              <w:rPr>
                <w:rFonts w:ascii="Times New Roman" w:cs="Times New Roman" w:hAnsi="Times New Roman"/>
                <w:color w:val="000000"/>
                <w:sz w:val="20"/>
                <w:szCs w:val="20"/>
              </w:rPr>
              <w:t>)</w:t>
            </w:r>
          </w:p>
        </w:tc>
        <w:tc>
          <w:tcPr>
            <w:tcW w:w="99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47.13</w:t>
            </w:r>
          </w:p>
        </w:tc>
        <w:tc>
          <w:tcPr>
            <w:tcW w:w="180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(44.32, 49.94)</w:t>
            </w:r>
          </w:p>
        </w:tc>
      </w:tr>
      <w:tr>
        <w:tblPrEx/>
        <w:trPr>
          <w:cantSplit/>
          <w:jc w:val="left"/>
        </w:trPr>
        <w:tc>
          <w:tcPr>
            <w:tcW w:w="1710" w:type="dxa"/>
            <w:tcBorders>
              <w:top w:val="single" w:sz="1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r>
              <w:rPr>
                <w:rFonts w:ascii="Times New Roman" w:cs="Times New Roman" w:hAnsi="Times New Roman" w:eastAsiaTheme="minorHAnsi"/>
                <w:sz w:val="20"/>
                <w:szCs w:val="20"/>
              </w:rPr>
              <w:t>Over All</w:t>
            </w:r>
          </w:p>
        </w:tc>
        <w:tc>
          <w:tcPr>
            <w:tcW w:w="1800" w:type="dxa"/>
            <w:tcBorders>
              <w:top w:val="single" w:sz="1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both"/>
              <w:rPr>
                <w:rFonts w:ascii="Times New Roman" w:cs="Times New Roman" w:hAnsi="Times New Roman"/>
                <w:color w:val="000000"/>
                <w:sz w:val="20"/>
                <w:szCs w:val="20"/>
              </w:rPr>
            </w:pPr>
          </w:p>
        </w:tc>
        <w:tc>
          <w:tcPr>
            <w:tcW w:w="1260" w:type="dxa"/>
            <w:tcBorders>
              <w:top w:val="single" w:sz="1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343" w:type="dxa"/>
            <w:gridSpan w:val="2"/>
            <w:tcBorders>
              <w:top w:val="single" w:sz="1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84.7%</w:t>
            </w:r>
          </w:p>
        </w:tc>
        <w:tc>
          <w:tcPr>
            <w:tcW w:w="1177" w:type="dxa"/>
            <w:tcBorders>
              <w:top w:val="single" w:sz="1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15.3%</w:t>
            </w:r>
          </w:p>
        </w:tc>
        <w:tc>
          <w:tcPr>
            <w:tcW w:w="990" w:type="dxa"/>
            <w:tcBorders>
              <w:top w:val="single" w:sz="1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sz w:val="20"/>
                <w:szCs w:val="20"/>
              </w:rPr>
              <w:t>51.5</w:t>
            </w:r>
            <w:r>
              <w:rPr>
                <w:rFonts w:ascii="Times New Roman" w:cs="Times New Roman" w:hAnsi="Times New Roman"/>
                <w:sz w:val="20"/>
                <w:szCs w:val="20"/>
              </w:rPr>
              <w:t>0</w:t>
            </w:r>
          </w:p>
        </w:tc>
        <w:tc>
          <w:tcPr>
            <w:tcW w:w="1800" w:type="dxa"/>
            <w:tcBorders>
              <w:top w:val="single" w:sz="1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sz w:val="20"/>
                <w:szCs w:val="20"/>
              </w:rPr>
              <w:t>(50.30 ,52.73)</w:t>
            </w:r>
          </w:p>
        </w:tc>
      </w:tr>
    </w:tbl>
    <w:p>
      <w:pPr>
        <w:pStyle w:val="style0"/>
        <w:autoSpaceDE w:val="false"/>
        <w:autoSpaceDN w:val="false"/>
        <w:adjustRightInd w:val="false"/>
        <w:spacing w:after="0" w:lineRule="auto" w:line="240"/>
        <w:ind w:firstLine="270" w:left="-270"/>
        <w:jc w:val="both"/>
        <w:rPr>
          <w:rFonts w:ascii="Times New Roman" w:cs="Times New Roman" w:hAnsi="Times New Roman"/>
          <w:i/>
          <w:sz w:val="20"/>
          <w:szCs w:val="20"/>
        </w:rPr>
      </w:pPr>
      <w:r>
        <w:rPr>
          <w:i/>
          <w:iCs/>
          <w:sz w:val="20"/>
          <w:szCs w:val="20"/>
        </w:rPr>
        <w:t xml:space="preserve">Source: </w:t>
      </w:r>
      <w:r>
        <w:rPr>
          <w:rFonts w:ascii="Times New Roman" w:cs="Times New Roman" w:hAnsi="Times New Roman"/>
          <w:i/>
          <w:sz w:val="20"/>
          <w:szCs w:val="20"/>
        </w:rPr>
        <w:t xml:space="preserve">Hossana </w:t>
      </w:r>
      <w:r>
        <w:rPr>
          <w:rFonts w:ascii="Times New Roman" w:cs="Times New Roman" w:hAnsi="Times New Roman"/>
          <w:bCs/>
          <w:i/>
          <w:sz w:val="20"/>
          <w:szCs w:val="20"/>
        </w:rPr>
        <w:t>Queen Elleni Mohamad Memorial Hospital, SNNPR, Ethiopia;</w:t>
      </w:r>
      <w:r>
        <w:rPr>
          <w:rFonts w:ascii="Times New Roman" w:cs="Times New Roman" w:hAnsi="Times New Roman"/>
          <w:i/>
          <w:sz w:val="20"/>
          <w:szCs w:val="20"/>
        </w:rPr>
        <w:t xml:space="preserve"> from 1</w:t>
      </w:r>
      <w:r>
        <w:rPr>
          <w:rFonts w:ascii="Times New Roman" w:cs="Times New Roman" w:hAnsi="Times New Roman"/>
          <w:i/>
          <w:sz w:val="20"/>
          <w:szCs w:val="20"/>
          <w:vertAlign w:val="superscript"/>
        </w:rPr>
        <w:t>st</w:t>
      </w:r>
      <w:r>
        <w:rPr>
          <w:rFonts w:ascii="Times New Roman" w:cs="Times New Roman" w:hAnsi="Times New Roman"/>
          <w:i/>
          <w:sz w:val="20"/>
          <w:szCs w:val="20"/>
        </w:rPr>
        <w:t xml:space="preserve"> February 2011 to </w:t>
      </w:r>
      <w:r>
        <w:rPr>
          <w:rFonts w:ascii="Times New Roman" w:cs="Times New Roman" w:hAnsi="Times New Roman"/>
          <w:i/>
          <w:sz w:val="20"/>
          <w:szCs w:val="20"/>
        </w:rPr>
        <w:t>1</w:t>
      </w:r>
      <w:r>
        <w:rPr>
          <w:rFonts w:ascii="Times New Roman" w:cs="Times New Roman" w:hAnsi="Times New Roman"/>
          <w:i/>
          <w:sz w:val="20"/>
          <w:szCs w:val="20"/>
          <w:vertAlign w:val="superscript"/>
        </w:rPr>
        <w:t>st</w:t>
      </w:r>
      <w:r>
        <w:rPr>
          <w:rFonts w:ascii="Times New Roman" w:cs="Times New Roman" w:hAnsi="Times New Roman"/>
          <w:i/>
          <w:sz w:val="20"/>
          <w:szCs w:val="20"/>
        </w:rPr>
        <w:t xml:space="preserve"> January</w:t>
      </w:r>
    </w:p>
    <w:p>
      <w:pPr>
        <w:pStyle w:val="style0"/>
        <w:autoSpaceDE w:val="false"/>
        <w:autoSpaceDN w:val="false"/>
        <w:adjustRightInd w:val="false"/>
        <w:spacing w:after="0" w:lineRule="auto" w:line="240"/>
        <w:ind w:firstLine="270" w:left="-270"/>
        <w:jc w:val="both"/>
        <w:rPr>
          <w:rFonts w:ascii="Times New Roman" w:cs="Times New Roman" w:hAnsi="Times New Roman"/>
          <w:i/>
          <w:sz w:val="20"/>
          <w:szCs w:val="20"/>
        </w:rPr>
      </w:pPr>
      <w:r>
        <w:rPr>
          <w:rFonts w:ascii="Times New Roman" w:cs="Times New Roman" w:hAnsi="Times New Roman"/>
          <w:i/>
          <w:sz w:val="20"/>
          <w:szCs w:val="20"/>
        </w:rPr>
        <w:t xml:space="preserve">  2016</w:t>
      </w:r>
      <w:r>
        <w:rPr>
          <w:rFonts w:ascii="Times New Roman" w:cs="Times New Roman" w:hAnsi="Times New Roman"/>
          <w:i/>
          <w:sz w:val="20"/>
          <w:szCs w:val="20"/>
        </w:rPr>
        <w:t xml:space="preserve">; </w:t>
      </w:r>
      <w:r>
        <w:rPr>
          <w:rFonts w:ascii="Times New Roman" w:cs="Times New Roman" w:hAnsi="Times New Roman"/>
          <w:i/>
          <w:sz w:val="20"/>
          <w:szCs w:val="20"/>
        </w:rPr>
        <w:t>mean</w:t>
      </w:r>
      <w:r>
        <w:rPr>
          <w:rFonts w:ascii="Times New Roman" w:cs="Times New Roman" w:hAnsi="Times New Roman"/>
          <w:i/>
          <w:sz w:val="20"/>
          <w:szCs w:val="20"/>
        </w:rPr>
        <w:t xml:space="preserve">: mean survival time, CI: </w:t>
      </w:r>
      <w:r>
        <w:rPr>
          <w:rFonts w:ascii="Times New Roman" w:cs="Times New Roman" w:hAnsi="Times New Roman"/>
          <w:i/>
          <w:sz w:val="20"/>
          <w:szCs w:val="20"/>
        </w:rPr>
        <w:t>Confidence Interval</w:t>
      </w:r>
      <w:r>
        <w:rPr>
          <w:rFonts w:ascii="Times New Roman" w:cs="Times New Roman" w:hAnsi="Times New Roman"/>
          <w:i/>
          <w:sz w:val="20"/>
          <w:szCs w:val="20"/>
        </w:rPr>
        <w:t xml:space="preserve"> for mean</w:t>
      </w:r>
    </w:p>
    <w:bookmarkStart w:id="248" w:name="_Toc451494718"/>
    <w:bookmarkStart w:id="249" w:name="_Toc451496312"/>
    <w:bookmarkStart w:id="250" w:name="_Toc451496815"/>
    <w:bookmarkStart w:id="251" w:name="_Toc451522860"/>
    <w:bookmarkStart w:id="252" w:name="_Toc451742101"/>
    <w:bookmarkStart w:id="253" w:name="_Toc451742842"/>
    <w:bookmarkStart w:id="254" w:name="_Toc452191103"/>
    <w:bookmarkStart w:id="255" w:name="_Toc452191652"/>
    <w:bookmarkStart w:id="256" w:name="_Toc452195073"/>
    <w:bookmarkEnd w:id="240"/>
    <w:bookmarkEnd w:id="241"/>
    <w:bookmarkEnd w:id="242"/>
    <w:bookmarkEnd w:id="243"/>
    <w:bookmarkEnd w:id="244"/>
    <w:bookmarkEnd w:id="245"/>
    <w:bookmarkEnd w:id="246"/>
    <w:bookmarkEnd w:id="247"/>
    <w:p>
      <w:pPr>
        <w:pStyle w:val="style2"/>
        <w:spacing w:after="240" w:lineRule="auto" w:line="240"/>
        <w:ind w:firstLine="270" w:left="-270" w:right="144"/>
        <w:rPr>
          <w:rFonts w:ascii="Times New Roman" w:cs="Times New Roman" w:hAnsi="Times New Roman" w:eastAsiaTheme="minorHAnsi"/>
          <w:b w:val="false"/>
          <w:bCs w:val="false"/>
          <w:color w:val="000000"/>
          <w:sz w:val="20"/>
          <w:szCs w:val="20"/>
          <w:lang w:val="en-US"/>
        </w:rPr>
      </w:pPr>
      <w:r>
        <w:rPr>
          <w:rFonts w:ascii="Times New Roman" w:cs="Times New Roman" w:hAnsi="Times New Roman" w:eastAsiaTheme="minorHAnsi"/>
          <w:bCs w:val="false"/>
          <w:color w:val="auto"/>
          <w:sz w:val="20"/>
          <w:szCs w:val="20"/>
        </w:rPr>
        <w:t>4.2</w:t>
      </w:r>
      <w:r>
        <w:rPr>
          <w:rFonts w:ascii="Times New Roman" w:cs="Times New Roman" w:hAnsi="Times New Roman" w:eastAsiaTheme="minorHAnsi"/>
          <w:bCs w:val="false"/>
          <w:color w:val="auto"/>
          <w:sz w:val="20"/>
          <w:szCs w:val="20"/>
        </w:rPr>
        <w:t>.</w:t>
      </w:r>
      <w:r>
        <w:rPr>
          <w:rFonts w:ascii="Times New Roman" w:cs="Times New Roman" w:hAnsi="Times New Roman" w:eastAsiaTheme="minorHAnsi"/>
          <w:color w:val="auto"/>
          <w:sz w:val="20"/>
          <w:szCs w:val="20"/>
        </w:rPr>
        <w:t>Comparison of Survival Experience</w:t>
      </w:r>
      <w:bookmarkEnd w:id="248"/>
      <w:bookmarkEnd w:id="249"/>
      <w:bookmarkEnd w:id="250"/>
      <w:bookmarkEnd w:id="251"/>
      <w:bookmarkEnd w:id="252"/>
      <w:bookmarkEnd w:id="253"/>
      <w:bookmarkEnd w:id="254"/>
      <w:bookmarkEnd w:id="255"/>
      <w:bookmarkEnd w:id="256"/>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eastAsiaTheme="minorHAnsi"/>
          <w:color w:val="000000"/>
          <w:sz w:val="20"/>
          <w:szCs w:val="20"/>
        </w:rPr>
        <w:t xml:space="preserve">The Kaplan-Meier survivor estimator is used to investigate the significance differences between the survival probabilities </w:t>
      </w:r>
      <w:r>
        <w:rPr>
          <w:rFonts w:ascii="Times New Roman" w:cs="Times New Roman" w:hAnsi="Times New Roman"/>
          <w:sz w:val="20"/>
          <w:szCs w:val="20"/>
        </w:rPr>
        <w:t xml:space="preserve">of different </w:t>
      </w:r>
      <w:r>
        <w:rPr>
          <w:rFonts w:ascii="Times New Roman" w:cs="Times New Roman" w:hAnsi="Times New Roman"/>
          <w:sz w:val="20"/>
          <w:szCs w:val="20"/>
        </w:rPr>
        <w:t>categories</w:t>
      </w:r>
      <w:r>
        <w:rPr>
          <w:rFonts w:ascii="Times New Roman" w:cs="Times New Roman" w:hAnsi="Times New Roman" w:eastAsiaTheme="minorHAnsi"/>
          <w:color w:val="000000"/>
          <w:sz w:val="20"/>
          <w:szCs w:val="20"/>
        </w:rPr>
        <w:t>.</w:t>
      </w:r>
      <w:r>
        <w:rPr>
          <w:rFonts w:ascii="Times New Roman" w:cs="Times New Roman" w:hAnsi="Times New Roman" w:eastAsiaTheme="minorHAnsi"/>
          <w:color w:val="000000"/>
          <w:sz w:val="20"/>
          <w:szCs w:val="20"/>
        </w:rPr>
        <w:t xml:space="preserve">In this study </w:t>
      </w:r>
      <w:r>
        <w:rPr>
          <w:rFonts w:ascii="Times New Roman" w:cs="Times New Roman" w:hAnsi="Times New Roman"/>
          <w:sz w:val="20"/>
          <w:szCs w:val="20"/>
        </w:rPr>
        <w:t xml:space="preserve">overall </w:t>
      </w:r>
      <w:r>
        <w:rPr>
          <w:rFonts w:ascii="Times New Roman" w:cs="Times New Roman" w:hAnsi="Times New Roman"/>
          <w:sz w:val="20"/>
          <w:szCs w:val="20"/>
        </w:rPr>
        <w:t xml:space="preserve">graph of the </w:t>
      </w:r>
      <w:r>
        <w:rPr>
          <w:rFonts w:ascii="Times New Roman" w:cs="Times New Roman" w:hAnsi="Times New Roman"/>
          <w:sz w:val="20"/>
          <w:szCs w:val="20"/>
        </w:rPr>
        <w:t xml:space="preserve">Kaplan-Meier survivor function </w:t>
      </w:r>
      <w:r>
        <w:rPr>
          <w:rFonts w:ascii="Times New Roman" w:cs="Times New Roman" w:hAnsi="Times New Roman"/>
          <w:sz w:val="20"/>
          <w:szCs w:val="20"/>
        </w:rPr>
        <w:t xml:space="preserve">showed that relatively </w:t>
      </w:r>
      <w:r>
        <w:rPr>
          <w:rFonts w:ascii="Times New Roman" w:cs="Times New Roman" w:hAnsi="Times New Roman"/>
          <w:sz w:val="20"/>
          <w:szCs w:val="20"/>
        </w:rPr>
        <w:t xml:space="preserve"> small</w:t>
      </w:r>
      <w:r>
        <w:rPr>
          <w:rFonts w:ascii="Times New Roman" w:cs="Times New Roman" w:hAnsi="Times New Roman"/>
          <w:sz w:val="20"/>
          <w:szCs w:val="20"/>
        </w:rPr>
        <w:t xml:space="preserve"> number of the deaths occurred in the earlier months </w:t>
      </w:r>
      <w:r>
        <w:rPr>
          <w:rFonts w:ascii="Times New Roman" w:cs="Times New Roman" w:hAnsi="Times New Roman"/>
          <w:sz w:val="20"/>
          <w:szCs w:val="20"/>
        </w:rPr>
        <w:t xml:space="preserve">of ART treatment </w:t>
      </w:r>
      <w:r>
        <w:rPr>
          <w:rFonts w:ascii="Times New Roman" w:cs="Times New Roman" w:hAnsi="Times New Roman"/>
          <w:sz w:val="20"/>
          <w:szCs w:val="20"/>
        </w:rPr>
        <w:t>which given in Fig</w:t>
      </w:r>
      <w:r>
        <w:rPr>
          <w:rFonts w:ascii="Times New Roman" w:cs="Times New Roman" w:hAnsi="Times New Roman"/>
          <w:sz w:val="20"/>
          <w:szCs w:val="20"/>
        </w:rPr>
        <w:t>ure 4</w:t>
      </w:r>
      <w:r>
        <w:rPr>
          <w:rFonts w:ascii="Times New Roman" w:cs="Times New Roman" w:hAnsi="Times New Roman"/>
          <w:sz w:val="20"/>
          <w:szCs w:val="20"/>
        </w:rPr>
        <w:t xml:space="preserve">. </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p>
    <w:bookmarkStart w:id="257" w:name="_Toc450288346"/>
    <w:bookmarkStart w:id="258" w:name="_Toc450291576"/>
    <w:bookmarkStart w:id="259" w:name="_Toc450292795"/>
    <w:bookmarkStart w:id="260" w:name="_Toc450294522"/>
    <w:bookmarkStart w:id="261" w:name="_Toc450294905"/>
    <w:p>
      <w:pPr>
        <w:pStyle w:val="style1"/>
        <w:spacing w:before="0" w:lineRule="auto" w:line="240"/>
        <w:ind w:firstLine="270" w:left="-270"/>
        <w:rPr>
          <w:rFonts w:ascii="Times New Roman" w:cs="Times New Roman" w:hAnsi="Times New Roman"/>
          <w:b w:val="false"/>
          <w:bCs w:val="false"/>
          <w:color w:val="auto"/>
          <w:sz w:val="20"/>
          <w:szCs w:val="20"/>
        </w:rPr>
      </w:pPr>
    </w:p>
    <w:p>
      <w:pPr>
        <w:pStyle w:val="style1"/>
        <w:spacing w:before="0" w:lineRule="auto" w:line="240"/>
        <w:ind w:firstLine="270" w:left="-270"/>
        <w:rPr>
          <w:rFonts w:ascii="Times New Roman" w:cs="Times New Roman" w:hAnsi="Times New Roman"/>
          <w:b w:val="false"/>
          <w:bCs w:val="false"/>
          <w:color w:val="auto"/>
          <w:sz w:val="20"/>
          <w:szCs w:val="20"/>
        </w:rPr>
      </w:pPr>
      <w:r>
        <w:rPr>
          <w:rFonts w:ascii="Times New Roman" w:cs="Times New Roman" w:hAnsi="Times New Roman"/>
          <w:b w:val="false"/>
          <w:bCs w:val="false"/>
          <w:color w:val="auto"/>
          <w:sz w:val="20"/>
          <w:szCs w:val="20"/>
        </w:rPr>
        <w:tab/>
      </w:r>
      <w:r>
        <w:rPr>
          <w:rFonts w:ascii="Times New Roman" w:cs="Times New Roman" w:hAnsi="Times New Roman"/>
          <w:b w:val="false"/>
          <w:bCs w:val="false"/>
          <w:color w:val="auto"/>
          <w:sz w:val="20"/>
          <w:szCs w:val="20"/>
        </w:rPr>
        <w:tab/>
      </w:r>
      <w:bookmarkEnd w:id="257"/>
      <w:bookmarkEnd w:id="258"/>
      <w:bookmarkEnd w:id="259"/>
      <w:bookmarkEnd w:id="260"/>
      <w:bookmarkEnd w:id="261"/>
    </w:p>
    <w:p>
      <w:pPr>
        <w:pStyle w:val="style0"/>
        <w:spacing w:after="0" w:lineRule="auto" w:line="240"/>
        <w:ind w:firstLine="270" w:left="-270"/>
        <w:rPr>
          <w:sz w:val="20"/>
          <w:szCs w:val="20"/>
          <w:lang w:val="en-GB"/>
        </w:rPr>
      </w:pPr>
    </w:p>
    <w:p>
      <w:pPr>
        <w:pStyle w:val="style0"/>
        <w:spacing w:after="0" w:lineRule="auto" w:line="240"/>
        <w:ind w:firstLine="270" w:left="-270"/>
        <w:rPr>
          <w:rFonts w:ascii="Times New Roman" w:cs="Times New Roman" w:hAnsi="Times New Roman"/>
          <w:noProof/>
          <w:sz w:val="20"/>
          <w:szCs w:val="20"/>
        </w:rPr>
      </w:pPr>
      <w:r>
        <w:rPr>
          <w:rFonts w:ascii="Times New Roman" w:cs="Times New Roman" w:hAnsi="Times New Roman"/>
          <w:noProof/>
          <w:sz w:val="20"/>
          <w:szCs w:val="20"/>
        </w:rPr>
        <w:drawing>
          <wp:inline distT="0" distB="0" distL="0" distR="0">
            <wp:extent cx="2879425" cy="2674188"/>
            <wp:effectExtent l="19050" t="0" r="0" b="0"/>
            <wp:docPr id="1028"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true">
                    <a:blip r:embed="rId4" cstate="print">
                      <a:extLst>
                        <a:ext uri="{28A0092B-C50C-407E-A947-70E740481C1C}">
                          <a14:useLocalDpi xmlns:a14="http://schemas.microsoft.com/office/drawing/2010/main" val="0"/>
                        </a:ext>
                      </a:extLst>
                    </a:blip>
                    <a:srcRect l="0" t="0" r="0" b="0"/>
                    <a:stretch>
                      <a:fillRect/>
                    </a:stretch>
                  </pic:blipFill>
                  <pic:spPr>
                    <a:xfrm>
                      <a:off x="0" y="0"/>
                      <a:ext cx="2879425" cy="2674188"/>
                    </a:xfrm>
                    <a:prstGeom prst="rect">
                      <a:avLst/>
                    </a:prstGeom>
                  </pic:spPr>
                </pic:pic>
              </a:graphicData>
            </a:graphic>
          </wp:inline>
        </w:drawing>
      </w:r>
      <w:r>
        <w:rPr>
          <w:rFonts w:ascii="Times New Roman" w:cs="Times New Roman" w:hAnsi="Times New Roman"/>
          <w:noProof/>
          <w:sz w:val="20"/>
          <w:szCs w:val="20"/>
        </w:rPr>
        <w:drawing>
          <wp:inline distT="0" distB="0" distL="0" distR="0">
            <wp:extent cx="3144865" cy="2682815"/>
            <wp:effectExtent l="19050" t="0" r="0" b="0"/>
            <wp:docPr id="1029"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true">
                    <a:blip r:embed="rId5" cstate="print">
                      <a:extLst>
                        <a:ext uri="{28A0092B-C50C-407E-A947-70E740481C1C}">
                          <a14:useLocalDpi xmlns:a14="http://schemas.microsoft.com/office/drawing/2010/main" val="0"/>
                        </a:ext>
                      </a:extLst>
                    </a:blip>
                    <a:srcRect l="0" t="0" r="0" b="0"/>
                    <a:stretch>
                      <a:fillRect/>
                    </a:stretch>
                  </pic:blipFill>
                  <pic:spPr>
                    <a:xfrm>
                      <a:off x="0" y="0"/>
                      <a:ext cx="3144865" cy="2682815"/>
                    </a:xfrm>
                    <a:prstGeom prst="rect">
                      <a:avLst/>
                    </a:prstGeom>
                  </pic:spPr>
                </pic:pic>
              </a:graphicData>
            </a:graphic>
          </wp:inline>
        </w:drawing>
      </w:r>
    </w:p>
    <w:bookmarkStart w:id="262" w:name="_Toc450285335"/>
    <w:bookmarkStart w:id="263" w:name="_Toc450288348"/>
    <w:bookmarkStart w:id="264" w:name="_Toc450292797"/>
    <w:bookmarkStart w:id="265" w:name="_Toc450294524"/>
    <w:bookmarkStart w:id="266" w:name="_Toc450294907"/>
    <w:bookmarkStart w:id="267" w:name="_Toc450724167"/>
    <w:bookmarkStart w:id="268" w:name="_Toc450724412"/>
    <w:bookmarkStart w:id="269" w:name="_Toc451494723"/>
    <w:bookmarkStart w:id="270" w:name="_Toc451496317"/>
    <w:bookmarkStart w:id="271" w:name="_Toc451496820"/>
    <w:bookmarkStart w:id="272" w:name="_Toc451522865"/>
    <w:bookmarkStart w:id="273" w:name="_Toc451742106"/>
    <w:bookmarkStart w:id="274" w:name="_Toc451742847"/>
    <w:bookmarkStart w:id="275" w:name="_Toc452191108"/>
    <w:bookmarkStart w:id="276" w:name="_Toc452191657"/>
    <w:bookmarkStart w:id="277" w:name="_Toc452195078"/>
    <w:p>
      <w:pPr>
        <w:pStyle w:val="style2"/>
        <w:spacing w:before="0" w:after="240" w:lineRule="auto" w:line="240"/>
        <w:ind w:firstLine="270" w:left="-270" w:right="144"/>
        <w:rPr>
          <w:rFonts w:ascii="Times New Roman" w:cs="Times New Roman" w:hAnsi="Times New Roman"/>
          <w:b w:val="false"/>
          <w:bCs w:val="false"/>
          <w:color w:val="auto"/>
          <w:sz w:val="20"/>
          <w:szCs w:val="20"/>
        </w:rPr>
      </w:pPr>
      <w:r>
        <w:rPr>
          <w:b w:val="false"/>
          <w:bCs w:val="false"/>
          <w:color w:val="auto"/>
          <w:sz w:val="20"/>
          <w:szCs w:val="20"/>
        </w:rPr>
        <w:t xml:space="preserve">Figure 4.1: </w:t>
      </w:r>
      <w:r>
        <w:rPr>
          <w:b w:val="false"/>
          <w:color w:val="auto"/>
          <w:sz w:val="20"/>
          <w:szCs w:val="20"/>
        </w:rPr>
        <w:t>Plots of Kaplan-Meier survivor function estimates for the variable baseline weight and education level</w:t>
      </w:r>
    </w:p>
    <w:p>
      <w:pPr>
        <w:pStyle w:val="style2"/>
        <w:spacing w:after="240" w:lineRule="auto" w:line="240"/>
        <w:ind w:firstLine="270" w:left="-270" w:right="144"/>
        <w:rPr>
          <w:rFonts w:ascii="Times New Roman" w:cs="Times New Roman" w:hAnsi="Times New Roman"/>
          <w:bCs w:val="false"/>
          <w:color w:val="auto"/>
          <w:sz w:val="20"/>
          <w:szCs w:val="20"/>
        </w:rPr>
      </w:pPr>
      <w:r>
        <w:rPr>
          <w:rFonts w:ascii="Times New Roman" w:cs="Times New Roman" w:hAnsi="Times New Roman"/>
          <w:bCs w:val="false"/>
          <w:color w:val="auto"/>
          <w:sz w:val="20"/>
          <w:szCs w:val="20"/>
        </w:rPr>
        <w:t xml:space="preserve">4.3. Results of the Cox proportional hazards </w:t>
      </w:r>
      <w:r>
        <w:rPr>
          <w:bCs w:val="false"/>
          <w:color w:val="auto"/>
          <w:sz w:val="20"/>
          <w:szCs w:val="20"/>
        </w:rPr>
        <w:t>Regression</w:t>
      </w:r>
      <w:r>
        <w:rPr>
          <w:rFonts w:ascii="Times New Roman" w:cs="Times New Roman" w:hAnsi="Times New Roman"/>
          <w:bCs w:val="false"/>
          <w:color w:val="auto"/>
          <w:sz w:val="20"/>
          <w:szCs w:val="20"/>
        </w:rPr>
        <w:t xml:space="preserve"> M</w:t>
      </w:r>
      <w:r>
        <w:rPr>
          <w:rFonts w:ascii="Times New Roman" w:cs="Times New Roman" w:hAnsi="Times New Roman"/>
          <w:bCs w:val="false"/>
          <w:color w:val="auto"/>
          <w:sz w:val="20"/>
          <w:szCs w:val="20"/>
        </w:rPr>
        <w:t>odel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In order to study the relationship between survival time and covariates, a regression modeling</w:t>
      </w:r>
      <w:r>
        <w:rPr>
          <w:rFonts w:ascii="Times New Roman" w:cs="Times New Roman" w:hAnsi="Times New Roman"/>
          <w:sz w:val="20"/>
          <w:szCs w:val="20"/>
        </w:rPr>
        <w:t xml:space="preserve"> </w:t>
      </w:r>
      <w:r>
        <w:rPr>
          <w:rFonts w:ascii="Times New Roman" w:cs="Times New Roman" w:hAnsi="Times New Roman"/>
          <w:sz w:val="20"/>
          <w:szCs w:val="20"/>
        </w:rPr>
        <w:t>approach to survival analysis using the Cox proportional hazards model can be employed for estimating the regression coefficients, making interpretation based on the hazard function, conducting statistical tests</w:t>
      </w:r>
      <w:r>
        <w:rPr>
          <w:rFonts w:ascii="Times New Roman" w:cs="Times New Roman" w:hAnsi="Times New Roman"/>
          <w:sz w:val="20"/>
          <w:szCs w:val="20"/>
        </w:rPr>
        <w:t xml:space="preserve">, </w:t>
      </w:r>
      <w:r>
        <w:rPr>
          <w:rFonts w:ascii="Times New Roman" w:cs="Times New Roman" w:hAnsi="Times New Roman"/>
          <w:sz w:val="20"/>
          <w:szCs w:val="20"/>
        </w:rPr>
        <w:t xml:space="preserve">constructing confidence </w:t>
      </w:r>
      <w:r>
        <w:rPr>
          <w:rFonts w:ascii="Times New Roman" w:cs="Times New Roman" w:hAnsi="Times New Roman"/>
          <w:sz w:val="20"/>
          <w:szCs w:val="20"/>
        </w:rPr>
        <w:t>intervals, checking</w:t>
      </w:r>
      <w:r>
        <w:rPr>
          <w:rFonts w:ascii="Times New Roman" w:cs="Times New Roman" w:hAnsi="Times New Roman"/>
          <w:sz w:val="20"/>
          <w:szCs w:val="20"/>
        </w:rPr>
        <w:t xml:space="preserve"> the adequacy of model and its development precede interpretation of results obtained from the fitted model. </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Consequently, the most important subset of these predictors to be included in the multivariable model will be selected </w:t>
      </w:r>
      <w:r>
        <w:rPr>
          <w:rFonts w:ascii="Times New Roman" w:cs="Times New Roman" w:hAnsi="Times New Roman"/>
          <w:sz w:val="20"/>
          <w:szCs w:val="20"/>
        </w:rPr>
        <w:t xml:space="preserve">by </w:t>
      </w:r>
      <w:r>
        <w:rPr>
          <w:rFonts w:ascii="Times New Roman" w:cs="Times New Roman" w:hAnsi="Times New Roman"/>
          <w:sz w:val="20"/>
          <w:szCs w:val="20"/>
        </w:rPr>
        <w:t xml:space="preserve">stepwise </w:t>
      </w:r>
      <w:r>
        <w:rPr>
          <w:rFonts w:ascii="Times New Roman" w:cs="Times New Roman" w:hAnsi="Times New Roman"/>
          <w:sz w:val="20"/>
          <w:szCs w:val="20"/>
        </w:rPr>
        <w:t>procedure</w:t>
      </w:r>
      <w:r>
        <w:rPr>
          <w:rFonts w:ascii="Times New Roman" w:cs="Times New Roman" w:hAnsi="Times New Roman"/>
          <w:sz w:val="20"/>
          <w:szCs w:val="20"/>
        </w:rPr>
        <w:t>, which</w:t>
      </w:r>
      <w:r>
        <w:rPr>
          <w:rFonts w:ascii="Times New Roman" w:cs="Times New Roman" w:hAnsi="Times New Roman"/>
          <w:sz w:val="20"/>
          <w:szCs w:val="20"/>
        </w:rPr>
        <w:t xml:space="preserve"> </w:t>
      </w:r>
      <w:r>
        <w:rPr>
          <w:rFonts w:ascii="Times New Roman" w:cs="Times New Roman" w:hAnsi="Times New Roman"/>
          <w:sz w:val="20"/>
          <w:szCs w:val="20"/>
        </w:rPr>
        <w:t>based on their contribution to the maximized log partial likelihood of the model (-2</w:t>
      </w:r>
      <w:r>
        <w:rPr>
          <w:rFonts w:ascii="Times New Roman" w:cs="Times New Roman" w:hAnsi="Times New Roman"/>
          <w:i/>
          <w:iCs/>
          <w:sz w:val="20"/>
          <w:szCs w:val="20"/>
        </w:rPr>
        <w:t>LL)</w:t>
      </w:r>
      <w:r>
        <w:rPr>
          <w:rFonts w:ascii="Times New Roman" w:cs="Times New Roman" w:hAnsi="Times New Roman"/>
          <w:sz w:val="20"/>
          <w:szCs w:val="20"/>
        </w:rPr>
        <w:t>. The summary result indicate that the highest reduction in - 2</w:t>
      </w:r>
      <w:r>
        <w:rPr>
          <w:rFonts w:ascii="Times New Roman" w:cs="Times New Roman" w:hAnsi="Times New Roman"/>
          <w:i/>
          <w:iCs/>
          <w:sz w:val="20"/>
          <w:szCs w:val="20"/>
        </w:rPr>
        <w:t>LL</w:t>
      </w:r>
      <w:r>
        <w:rPr>
          <w:rFonts w:ascii="Times New Roman" w:cs="Times New Roman" w:hAnsi="Times New Roman"/>
          <w:sz w:val="20"/>
          <w:szCs w:val="20"/>
        </w:rPr>
        <w:t>(bˆ) is observed for drug regimen that reduced the value for the null/e</w:t>
      </w:r>
      <w:r>
        <w:rPr>
          <w:rFonts w:ascii="Times New Roman" w:cs="Times New Roman" w:hAnsi="Times New Roman"/>
          <w:sz w:val="20"/>
          <w:szCs w:val="20"/>
        </w:rPr>
        <w:t>mpty model, from 1707.</w:t>
      </w:r>
      <w:r>
        <w:rPr>
          <w:rFonts w:ascii="Times New Roman" w:cs="Times New Roman" w:hAnsi="Times New Roman"/>
          <w:sz w:val="20"/>
          <w:szCs w:val="20"/>
        </w:rPr>
        <w:t>4</w:t>
      </w:r>
      <w:r>
        <w:rPr>
          <w:rFonts w:ascii="Times New Roman" w:cs="Times New Roman" w:hAnsi="Times New Roman"/>
          <w:sz w:val="20"/>
          <w:szCs w:val="20"/>
        </w:rPr>
        <w:t>4</w:t>
      </w:r>
      <w:r>
        <w:rPr>
          <w:rFonts w:ascii="Times New Roman" w:cs="Times New Roman" w:hAnsi="Times New Roman"/>
          <w:sz w:val="20"/>
          <w:szCs w:val="20"/>
        </w:rPr>
        <w:t>9</w:t>
      </w:r>
      <w:r>
        <w:rPr>
          <w:rFonts w:ascii="Times New Roman" w:cs="Times New Roman" w:hAnsi="Times New Roman"/>
          <w:sz w:val="20"/>
          <w:szCs w:val="20"/>
        </w:rPr>
        <w:t xml:space="preserve"> to 165</w:t>
      </w:r>
      <w:r>
        <w:rPr>
          <w:rFonts w:ascii="Times New Roman" w:cs="Times New Roman" w:hAnsi="Times New Roman"/>
          <w:sz w:val="20"/>
          <w:szCs w:val="20"/>
        </w:rPr>
        <w:t>5.784, t</w:t>
      </w:r>
      <w:r>
        <w:rPr>
          <w:rFonts w:ascii="Times New Roman" w:cs="Times New Roman" w:hAnsi="Times New Roman"/>
          <w:sz w:val="20"/>
          <w:szCs w:val="20"/>
        </w:rPr>
        <w:t>he difference is 5</w:t>
      </w:r>
      <w:r>
        <w:rPr>
          <w:rFonts w:ascii="Times New Roman" w:cs="Times New Roman" w:hAnsi="Times New Roman"/>
          <w:sz w:val="20"/>
          <w:szCs w:val="20"/>
        </w:rPr>
        <w:t>1.66</w:t>
      </w:r>
      <w:r>
        <w:rPr>
          <w:rFonts w:ascii="Times New Roman" w:cs="Times New Roman" w:hAnsi="Times New Roman"/>
          <w:sz w:val="20"/>
          <w:szCs w:val="20"/>
        </w:rPr>
        <w:t xml:space="preserve"> and the next highest change is obta</w:t>
      </w:r>
      <w:r>
        <w:rPr>
          <w:rFonts w:ascii="Times New Roman" w:cs="Times New Roman" w:hAnsi="Times New Roman"/>
          <w:sz w:val="20"/>
          <w:szCs w:val="20"/>
        </w:rPr>
        <w:t>ined for functional status of (4</w:t>
      </w:r>
      <w:r>
        <w:rPr>
          <w:rFonts w:ascii="Times New Roman" w:cs="Times New Roman" w:hAnsi="Times New Roman"/>
          <w:sz w:val="20"/>
          <w:szCs w:val="20"/>
        </w:rPr>
        <w:t>8.789)</w:t>
      </w:r>
      <w:r>
        <w:rPr>
          <w:rFonts w:ascii="Times New Roman" w:cs="Times New Roman" w:hAnsi="Times New Roman"/>
          <w:sz w:val="20"/>
          <w:szCs w:val="20"/>
        </w:rPr>
        <w:t xml:space="preserve">  followed by marital  status (4</w:t>
      </w:r>
      <w:r>
        <w:rPr>
          <w:rFonts w:ascii="Times New Roman" w:cs="Times New Roman" w:hAnsi="Times New Roman"/>
          <w:sz w:val="20"/>
          <w:szCs w:val="20"/>
        </w:rPr>
        <w:t>2.021). Therefore, all the covariates will</w:t>
      </w:r>
      <w:r>
        <w:rPr>
          <w:rFonts w:ascii="Times New Roman" w:cs="Times New Roman" w:hAnsi="Times New Roman"/>
          <w:sz w:val="20"/>
          <w:szCs w:val="20"/>
        </w:rPr>
        <w:t xml:space="preserve"> be included in the multivariat</w:t>
      </w:r>
      <w:r>
        <w:rPr>
          <w:rFonts w:ascii="Times New Roman" w:cs="Times New Roman" w:hAnsi="Times New Roman"/>
          <w:sz w:val="20"/>
          <w:szCs w:val="20"/>
        </w:rPr>
        <w:t xml:space="preserve">e study. The next step is to check the significance of the covariates in the multivariable model. The covariates which are not significant at 5% significance </w:t>
      </w:r>
      <w:r>
        <w:rPr>
          <w:rFonts w:ascii="Times New Roman" w:cs="Times New Roman" w:hAnsi="Times New Roman"/>
          <w:sz w:val="20"/>
          <w:szCs w:val="20"/>
        </w:rPr>
        <w:t>level</w:t>
      </w:r>
      <w:r>
        <w:rPr>
          <w:rFonts w:ascii="Times New Roman" w:cs="Times New Roman" w:hAnsi="Times New Roman"/>
          <w:sz w:val="20"/>
          <w:szCs w:val="20"/>
        </w:rPr>
        <w:t>,</w:t>
      </w:r>
      <w:r>
        <w:rPr>
          <w:rFonts w:ascii="Times New Roman" w:cs="Times New Roman" w:hAnsi="Times New Roman"/>
          <w:sz w:val="20"/>
          <w:szCs w:val="20"/>
        </w:rPr>
        <w:t xml:space="preserve"> then </w:t>
      </w:r>
      <w:r>
        <w:rPr>
          <w:rFonts w:ascii="Times New Roman" w:cs="Times New Roman" w:hAnsi="Times New Roman"/>
          <w:sz w:val="20"/>
          <w:szCs w:val="20"/>
        </w:rPr>
        <w:t>those covariates</w:t>
      </w:r>
      <w:r>
        <w:rPr>
          <w:rFonts w:ascii="Times New Roman" w:cs="Times New Roman" w:hAnsi="Times New Roman"/>
          <w:sz w:val="20"/>
          <w:szCs w:val="20"/>
        </w:rPr>
        <w:t xml:space="preserve"> </w:t>
      </w:r>
      <w:r>
        <w:rPr>
          <w:rFonts w:ascii="Times New Roman" w:cs="Times New Roman" w:hAnsi="Times New Roman"/>
          <w:sz w:val="20"/>
          <w:szCs w:val="20"/>
        </w:rPr>
        <w:t>eliminate</w:t>
      </w:r>
      <w:r>
        <w:rPr>
          <w:rFonts w:ascii="Times New Roman" w:cs="Times New Roman" w:hAnsi="Times New Roman"/>
          <w:sz w:val="20"/>
          <w:szCs w:val="20"/>
        </w:rPr>
        <w:t>d</w:t>
      </w:r>
      <w:r>
        <w:rPr>
          <w:rFonts w:ascii="Times New Roman" w:cs="Times New Roman" w:hAnsi="Times New Roman"/>
          <w:sz w:val="20"/>
          <w:szCs w:val="20"/>
        </w:rPr>
        <w:t xml:space="preserve"> </w:t>
      </w:r>
      <w:r>
        <w:rPr>
          <w:rFonts w:ascii="Times New Roman" w:cs="Times New Roman" w:hAnsi="Times New Roman"/>
          <w:sz w:val="20"/>
          <w:szCs w:val="20"/>
        </w:rPr>
        <w:t xml:space="preserve">from the model. </w:t>
      </w:r>
      <w:r>
        <w:rPr>
          <w:rFonts w:ascii="Times New Roman" w:cs="Times New Roman" w:hAnsi="Times New Roman"/>
          <w:sz w:val="20"/>
          <w:szCs w:val="20"/>
        </w:rPr>
        <w:t>Lastly</w:t>
      </w:r>
      <w:r>
        <w:rPr>
          <w:rFonts w:ascii="Times New Roman" w:cs="Times New Roman" w:hAnsi="Times New Roman"/>
          <w:sz w:val="20"/>
          <w:szCs w:val="20"/>
        </w:rPr>
        <w:t xml:space="preserve">, the </w:t>
      </w:r>
      <w:r>
        <w:rPr>
          <w:rFonts w:ascii="Times New Roman" w:cs="Times New Roman" w:hAnsi="Times New Roman"/>
          <w:sz w:val="20"/>
          <w:szCs w:val="20"/>
        </w:rPr>
        <w:t>final</w:t>
      </w:r>
      <w:r>
        <w:rPr>
          <w:rFonts w:ascii="Times New Roman" w:cs="Times New Roman" w:hAnsi="Times New Roman"/>
          <w:sz w:val="20"/>
          <w:szCs w:val="20"/>
        </w:rPr>
        <w:t xml:space="preserve"> Cox ph regression</w:t>
      </w:r>
      <w:r>
        <w:rPr>
          <w:rFonts w:ascii="Times New Roman" w:cs="Times New Roman" w:hAnsi="Times New Roman"/>
          <w:sz w:val="20"/>
          <w:szCs w:val="20"/>
        </w:rPr>
        <w:t xml:space="preserve"> model is fitted </w:t>
      </w:r>
      <w:r>
        <w:rPr>
          <w:rFonts w:ascii="Times New Roman" w:cs="Times New Roman" w:hAnsi="Times New Roman"/>
          <w:sz w:val="20"/>
          <w:szCs w:val="20"/>
        </w:rPr>
        <w:t>in Table 4.4</w:t>
      </w:r>
      <w:r>
        <w:rPr>
          <w:rFonts w:ascii="Times New Roman" w:cs="Times New Roman" w:hAnsi="Times New Roman"/>
          <w:sz w:val="20"/>
          <w:szCs w:val="20"/>
        </w:rPr>
        <w:t xml:space="preserve"> </w:t>
      </w:r>
      <w:r>
        <w:rPr>
          <w:rFonts w:ascii="Times New Roman" w:cs="Times New Roman" w:hAnsi="Times New Roman"/>
          <w:sz w:val="20"/>
          <w:szCs w:val="20"/>
        </w:rPr>
        <w:t xml:space="preserve">using the remaining significant covariates. </w:t>
      </w:r>
    </w:p>
    <w:bookmarkStart w:id="278" w:name="_Toc450288352"/>
    <w:bookmarkStart w:id="279" w:name="_Toc450291582"/>
    <w:bookmarkStart w:id="280" w:name="_Toc450292801"/>
    <w:bookmarkStart w:id="281" w:name="_Toc450294528"/>
    <w:bookmarkStart w:id="282" w:name="_Toc450294911"/>
    <w:bookmarkStart w:id="283" w:name="_Toc450525935"/>
    <w:bookmarkStart w:id="284" w:name="_Toc450724171"/>
    <w:bookmarkStart w:id="285" w:name="_Toc450724416"/>
    <w:bookmarkStart w:id="286" w:name="_Toc451480397"/>
    <w:bookmarkStart w:id="287" w:name="_Toc451493926"/>
    <w:bookmarkStart w:id="288" w:name="_Toc451494727"/>
    <w:bookmarkStart w:id="289" w:name="_Toc451496321"/>
    <w:bookmarkStart w:id="290" w:name="_Toc451496824"/>
    <w:bookmarkStart w:id="291" w:name="_Toc451522869"/>
    <w:bookmarkStart w:id="292" w:name="_Toc451742110"/>
    <w:bookmarkStart w:id="293" w:name="_Toc451742851"/>
    <w:bookmarkStart w:id="294" w:name="_Toc452191112"/>
    <w:bookmarkStart w:id="295" w:name="_Toc452191661"/>
    <w:bookmarkStart w:id="296" w:name="_Toc452195082"/>
    <w:p>
      <w:pPr>
        <w:pStyle w:val="style1"/>
        <w:spacing w:lineRule="auto" w:line="240"/>
        <w:ind w:firstLine="270" w:left="-270"/>
        <w:rPr>
          <w:rFonts w:ascii="Times New Roman" w:cs="Times New Roman" w:hAnsi="Times New Roman"/>
          <w:b w:val="false"/>
          <w:color w:val="auto"/>
          <w:sz w:val="20"/>
          <w:szCs w:val="20"/>
        </w:rPr>
      </w:pPr>
      <w:r>
        <w:rPr>
          <w:rFonts w:ascii="Times New Roman" w:cs="Times New Roman" w:hAnsi="Times New Roman"/>
          <w:bCs w:val="false"/>
          <w:color w:val="auto"/>
          <w:sz w:val="20"/>
          <w:szCs w:val="20"/>
        </w:rPr>
        <w:t>Table 4.4</w:t>
      </w:r>
      <w:r>
        <w:rPr>
          <w:rFonts w:ascii="Times New Roman" w:cs="Times New Roman" w:hAnsi="Times New Roman"/>
          <w:bCs w:val="false"/>
          <w:color w:val="auto"/>
          <w:sz w:val="20"/>
          <w:szCs w:val="20"/>
        </w:rPr>
        <w:t>:</w:t>
      </w:r>
      <w:r>
        <w:rPr>
          <w:rFonts w:ascii="Times New Roman" w:cs="Times New Roman" w:hAnsi="Times New Roman"/>
          <w:b w:val="false"/>
          <w:color w:val="auto"/>
          <w:sz w:val="20"/>
          <w:szCs w:val="20"/>
        </w:rPr>
        <w:t xml:space="preserve"> the</w:t>
      </w:r>
      <w:r>
        <w:rPr>
          <w:rFonts w:ascii="Times New Roman" w:cs="Times New Roman" w:hAnsi="Times New Roman"/>
          <w:b w:val="false"/>
          <w:color w:val="auto"/>
          <w:sz w:val="20"/>
          <w:szCs w:val="20"/>
        </w:rPr>
        <w:t xml:space="preserve"> Parameter Estimates, Standard Errors and the Hazard Ratios of the</w:t>
      </w:r>
      <w:r>
        <w:rPr>
          <w:rFonts w:ascii="Times New Roman" w:cs="Times New Roman" w:hAnsi="Times New Roman"/>
          <w:b w:val="false"/>
          <w:color w:val="auto"/>
          <w:sz w:val="20"/>
          <w:szCs w:val="20"/>
        </w:rPr>
        <w:t xml:space="preserve"> Final </w:t>
      </w:r>
      <w:r>
        <w:rPr>
          <w:rFonts w:ascii="Times New Roman" w:cs="Times New Roman" w:hAnsi="Times New Roman"/>
          <w:b w:val="false"/>
          <w:color w:val="auto"/>
          <w:sz w:val="20"/>
          <w:szCs w:val="20"/>
        </w:rPr>
        <w:t>Cox Proportional H</w:t>
      </w:r>
      <w:r>
        <w:rPr>
          <w:rFonts w:ascii="Times New Roman" w:cs="Times New Roman" w:hAnsi="Times New Roman"/>
          <w:b w:val="false"/>
          <w:color w:val="auto"/>
          <w:sz w:val="20"/>
          <w:szCs w:val="20"/>
        </w:rPr>
        <w:t>azard</w:t>
      </w:r>
      <w:r>
        <w:rPr>
          <w:rFonts w:ascii="Times New Roman" w:cs="Times New Roman" w:hAnsi="Times New Roman"/>
          <w:b w:val="false"/>
          <w:color w:val="auto"/>
          <w:sz w:val="20"/>
          <w:szCs w:val="20"/>
        </w:rPr>
        <w:t xml:space="preserve"> Regression Model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tbl>
      <w:tblPr>
        <w:tblW w:w="10260" w:type="dxa"/>
        <w:jc w:val="left"/>
        <w:tblInd w:w="-360" w:type="dxa"/>
        <w:tblLayout w:type="fixed"/>
        <w:tblCellMar>
          <w:left w:w="0" w:type="dxa"/>
          <w:right w:w="0" w:type="dxa"/>
        </w:tblCellMar>
        <w:tblLook w:firstRow="0" w:lastRow="0" w:firstColumn="0" w:lastColumn="0" w:noHBand="0" w:noVBand="1"/>
      </w:tblPr>
      <w:tblGrid>
        <w:gridCol w:w="2790"/>
        <w:gridCol w:w="540"/>
        <w:gridCol w:w="990"/>
        <w:gridCol w:w="1080"/>
        <w:gridCol w:w="900"/>
        <w:gridCol w:w="990"/>
        <w:gridCol w:w="900"/>
        <w:gridCol w:w="990"/>
        <w:gridCol w:w="1080"/>
      </w:tblGrid>
      <w:tr>
        <w:trPr>
          <w:cantSplit/>
          <w:jc w:val="left"/>
        </w:trPr>
        <w:tc>
          <w:tcPr>
            <w:tcW w:w="2790" w:type="dxa"/>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sz w:val="20"/>
                <w:szCs w:val="20"/>
              </w:rPr>
              <w:t>Covariates</w:t>
            </w:r>
          </w:p>
        </w:tc>
        <w:tc>
          <w:tcPr>
            <w:tcW w:w="540" w:type="dxa"/>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DF</w:t>
            </w:r>
          </w:p>
        </w:tc>
        <w:tc>
          <w:tcPr>
            <w:tcW w:w="990" w:type="dxa"/>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rPr>
                <w:rFonts w:ascii="Times New Roman" w:cs="Times New Roman" w:hAnsi="Times New Roman"/>
                <w:sz w:val="20"/>
                <w:szCs w:val="20"/>
              </w:rPr>
            </w:pPr>
            <w:r>
              <w:rPr>
                <w:rFonts w:ascii="Times New Roman" w:cs="Times New Roman" w:hAnsi="Times New Roman"/>
                <w:sz w:val="20"/>
                <w:szCs w:val="20"/>
              </w:rPr>
              <w:t>Parameter</w:t>
            </w: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Estimate</w:t>
            </w:r>
          </w:p>
        </w:tc>
        <w:tc>
          <w:tcPr>
            <w:tcW w:w="1080" w:type="dxa"/>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r>
              <w:rPr>
                <w:rFonts w:ascii="Times New Roman" w:cs="Times New Roman" w:hAnsi="Times New Roman"/>
                <w:sz w:val="20"/>
                <w:szCs w:val="20"/>
              </w:rPr>
              <w:t>S</w:t>
            </w:r>
            <w:r>
              <w:rPr>
                <w:rFonts w:ascii="Times New Roman" w:cs="Times New Roman" w:hAnsi="Times New Roman"/>
                <w:sz w:val="20"/>
                <w:szCs w:val="20"/>
              </w:rPr>
              <w:t>E</w:t>
            </w:r>
          </w:p>
        </w:tc>
        <w:tc>
          <w:tcPr>
            <w:tcW w:w="900" w:type="dxa"/>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Wald</w:t>
            </w:r>
          </w:p>
        </w:tc>
        <w:tc>
          <w:tcPr>
            <w:tcW w:w="990" w:type="dxa"/>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P-Value</w:t>
            </w:r>
          </w:p>
        </w:tc>
        <w:tc>
          <w:tcPr>
            <w:tcW w:w="900" w:type="dxa"/>
            <w:vMerge w:val="restart"/>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r>
              <w:rPr>
                <w:rFonts w:ascii="Times New Roman" w:cs="Times New Roman" w:hAnsi="Times New Roman"/>
                <w:sz w:val="20"/>
                <w:szCs w:val="20"/>
              </w:rPr>
              <w:t>H</w:t>
            </w:r>
            <w:r>
              <w:rPr>
                <w:rFonts w:ascii="Times New Roman" w:cs="Times New Roman" w:hAnsi="Times New Roman"/>
                <w:sz w:val="20"/>
                <w:szCs w:val="20"/>
              </w:rPr>
              <w:t>R</w:t>
            </w:r>
          </w:p>
        </w:tc>
        <w:tc>
          <w:tcPr>
            <w:tcW w:w="2070" w:type="dxa"/>
            <w:gridSpan w:val="2"/>
            <w:tcBorders>
              <w:top w:val="single" w:sz="12"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r>
              <w:rPr>
                <w:rFonts w:ascii="Times New Roman" w:cs="Times New Roman" w:hAnsi="Times New Roman"/>
                <w:sz w:val="20"/>
                <w:szCs w:val="20"/>
              </w:rPr>
              <w:t>95.0% CI for the</w:t>
            </w: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H</w:t>
            </w:r>
            <w:r>
              <w:rPr>
                <w:rFonts w:ascii="Times New Roman" w:cs="Times New Roman" w:hAnsi="Times New Roman"/>
                <w:sz w:val="20"/>
                <w:szCs w:val="20"/>
              </w:rPr>
              <w:t>R</w:t>
            </w:r>
          </w:p>
        </w:tc>
      </w:tr>
      <w:tr>
        <w:tblPrEx/>
        <w:trPr>
          <w:cantSplit/>
          <w:trHeight w:val="288" w:hRule="atLeast"/>
          <w:jc w:val="left"/>
        </w:trPr>
        <w:tc>
          <w:tcPr>
            <w:tcW w:w="2790" w:type="dxa"/>
            <w:vMerge w:val="continue"/>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540" w:type="dxa"/>
            <w:vMerge w:val="continue"/>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p>
        </w:tc>
        <w:tc>
          <w:tcPr>
            <w:tcW w:w="990" w:type="dxa"/>
            <w:vMerge w:val="continue"/>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080" w:type="dxa"/>
            <w:vMerge w:val="continue"/>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p>
        </w:tc>
        <w:tc>
          <w:tcPr>
            <w:tcW w:w="900" w:type="dxa"/>
            <w:vMerge w:val="continue"/>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p>
        </w:tc>
        <w:tc>
          <w:tcPr>
            <w:tcW w:w="990" w:type="dxa"/>
            <w:vMerge w:val="continue"/>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p>
        </w:tc>
        <w:tc>
          <w:tcPr>
            <w:tcW w:w="900" w:type="dxa"/>
            <w:vMerge w:val="continue"/>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p>
        </w:tc>
        <w:tc>
          <w:tcPr>
            <w:tcW w:w="990" w:type="dxa"/>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Lower</w:t>
            </w:r>
          </w:p>
        </w:tc>
        <w:tc>
          <w:tcPr>
            <w:tcW w:w="1080" w:type="dxa"/>
            <w:tcBorders>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Upper</w:t>
            </w:r>
          </w:p>
        </w:tc>
      </w:tr>
      <w:tr>
        <w:tblPrEx/>
        <w:trPr>
          <w:cantSplit/>
          <w:jc w:val="left"/>
        </w:trPr>
        <w:tc>
          <w:tcPr>
            <w:tcW w:w="279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Baseline weight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&lt;50kgms      </w:t>
            </w:r>
            <w:r>
              <w:rPr>
                <w:rFonts w:ascii="Times New Roman" w:cs="Times New Roman" w:hAnsi="Times New Roman"/>
                <w:color w:val="000000"/>
                <w:sz w:val="20"/>
                <w:szCs w:val="20"/>
              </w:rPr>
              <w:t>(</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50kgms</w:t>
            </w:r>
          </w:p>
        </w:tc>
        <w:tc>
          <w:tcPr>
            <w:tcW w:w="54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-0.438</w:t>
            </w:r>
          </w:p>
        </w:tc>
        <w:tc>
          <w:tcPr>
            <w:tcW w:w="108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0.173</w:t>
            </w:r>
          </w:p>
        </w:tc>
        <w:tc>
          <w:tcPr>
            <w:tcW w:w="90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6.332</w:t>
            </w:r>
          </w:p>
        </w:tc>
        <w:tc>
          <w:tcPr>
            <w:tcW w:w="99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0.012</w:t>
            </w:r>
            <w:r>
              <w:rPr>
                <w:rFonts w:ascii="Times New Roman" w:cs="Times New Roman" w:hAnsi="Times New Roman"/>
                <w:color w:val="000000"/>
                <w:sz w:val="20"/>
                <w:szCs w:val="20"/>
              </w:rPr>
              <w:t>8*</w:t>
            </w:r>
          </w:p>
        </w:tc>
        <w:tc>
          <w:tcPr>
            <w:tcW w:w="90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0.6455</w:t>
            </w:r>
          </w:p>
        </w:tc>
        <w:tc>
          <w:tcPr>
            <w:tcW w:w="99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[0.459</w:t>
            </w:r>
          </w:p>
        </w:tc>
        <w:tc>
          <w:tcPr>
            <w:tcW w:w="1080" w:type="dxa"/>
            <w:tcBorders>
              <w:top w:val="single" w:sz="1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,0.906]</w:t>
            </w:r>
          </w:p>
        </w:tc>
      </w:tr>
      <w:tr>
        <w:tblPrEx/>
        <w:trPr>
          <w:cantSplit/>
          <w:jc w:val="left"/>
        </w:trPr>
        <w:tc>
          <w:tcPr>
            <w:tcW w:w="279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Education level</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no education    </w:t>
            </w:r>
            <w:r>
              <w:rPr>
                <w:rFonts w:ascii="Times New Roman" w:cs="Times New Roman" w:hAnsi="Times New Roman"/>
                <w:color w:val="000000"/>
                <w:sz w:val="20"/>
                <w:szCs w:val="20"/>
              </w:rPr>
              <w:t>(</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tc>
        <w:tc>
          <w:tcPr>
            <w:tcW w:w="54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w:t>
            </w:r>
          </w:p>
        </w:tc>
        <w:tc>
          <w:tcPr>
            <w:tcW w:w="990" w:type="dxa"/>
            <w:tcBorders>
              <w:top w:val="single" w:sz="2" w:space="0" w:color="auto"/>
            </w:tcBorders>
            <w:shd w:val="clear" w:color="auto" w:fill="ffffff"/>
            <w:tcFitText w:val="false"/>
          </w:tcPr>
          <w:p>
            <w:pPr>
              <w:pStyle w:val="style0"/>
              <w:autoSpaceDE w:val="false"/>
              <w:autoSpaceDN w:val="false"/>
              <w:adjustRightInd w:val="false"/>
              <w:spacing w:after="0" w:lineRule="auto" w:line="240"/>
              <w:ind w:firstLine="270" w:left="-270"/>
              <w:rPr>
                <w:rFonts w:ascii="Times New Roman" w:cs="Times New Roman" w:hAnsi="Times New Roman"/>
                <w:sz w:val="20"/>
                <w:szCs w:val="20"/>
              </w:rPr>
            </w:pPr>
          </w:p>
        </w:tc>
        <w:tc>
          <w:tcPr>
            <w:tcW w:w="1080" w:type="dxa"/>
            <w:tcBorders>
              <w:top w:val="single" w:sz="2"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p>
        </w:tc>
        <w:tc>
          <w:tcPr>
            <w:tcW w:w="90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18.518</w:t>
            </w:r>
          </w:p>
        </w:tc>
        <w:tc>
          <w:tcPr>
            <w:tcW w:w="99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0.000</w:t>
            </w:r>
            <w:r>
              <w:rPr>
                <w:rFonts w:ascii="Times New Roman" w:cs="Times New Roman" w:hAnsi="Times New Roman"/>
                <w:color w:val="000000"/>
                <w:sz w:val="20"/>
                <w:szCs w:val="20"/>
              </w:rPr>
              <w:t>*</w:t>
            </w:r>
          </w:p>
        </w:tc>
        <w:tc>
          <w:tcPr>
            <w:tcW w:w="900" w:type="dxa"/>
            <w:tcBorders>
              <w:top w:val="single" w:sz="2"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p>
        </w:tc>
        <w:tc>
          <w:tcPr>
            <w:tcW w:w="990" w:type="dxa"/>
            <w:tcBorders>
              <w:top w:val="single" w:sz="2" w:space="0" w:color="auto"/>
            </w:tcBorders>
            <w:shd w:val="clear" w:color="auto" w:fill="ffffff"/>
            <w:tcFitText w:val="false"/>
          </w:tcPr>
          <w:p>
            <w:pPr>
              <w:pStyle w:val="style0"/>
              <w:autoSpaceDE w:val="false"/>
              <w:autoSpaceDN w:val="false"/>
              <w:adjustRightInd w:val="false"/>
              <w:spacing w:after="0" w:lineRule="auto" w:line="240"/>
              <w:ind w:firstLine="270" w:left="-270"/>
              <w:rPr>
                <w:rFonts w:ascii="Times New Roman" w:cs="Times New Roman" w:hAnsi="Times New Roman"/>
                <w:sz w:val="20"/>
                <w:szCs w:val="20"/>
              </w:rPr>
            </w:pPr>
          </w:p>
        </w:tc>
        <w:tc>
          <w:tcPr>
            <w:tcW w:w="1080" w:type="dxa"/>
            <w:tcBorders>
              <w:top w:val="single" w:sz="2" w:space="0" w:color="auto"/>
            </w:tcBorders>
            <w:shd w:val="clear" w:color="auto" w:fill="ffffff"/>
            <w:tcFitText w:val="false"/>
          </w:tcPr>
          <w:p>
            <w:pPr>
              <w:pStyle w:val="style0"/>
              <w:autoSpaceDE w:val="false"/>
              <w:autoSpaceDN w:val="false"/>
              <w:adjustRightInd w:val="false"/>
              <w:spacing w:after="0" w:lineRule="auto" w:line="240"/>
              <w:ind w:firstLine="270" w:left="-270"/>
              <w:rPr>
                <w:rFonts w:ascii="Times New Roman" w:cs="Times New Roman" w:hAnsi="Times New Roman"/>
                <w:sz w:val="20"/>
                <w:szCs w:val="20"/>
              </w:rPr>
            </w:pPr>
          </w:p>
        </w:tc>
      </w:tr>
      <w:tr>
        <w:tblPrEx/>
        <w:trPr>
          <w:cantSplit/>
          <w:jc w:val="left"/>
        </w:trPr>
        <w:tc>
          <w:tcPr>
            <w:tcW w:w="27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Primary</w:t>
            </w:r>
          </w:p>
        </w:tc>
        <w:tc>
          <w:tcPr>
            <w:tcW w:w="54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-0.504</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0.188</w:t>
            </w: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7.145</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0.008</w:t>
            </w:r>
            <w:r>
              <w:rPr>
                <w:rFonts w:ascii="Times New Roman" w:cs="Times New Roman" w:hAnsi="Times New Roman"/>
                <w:color w:val="000000"/>
                <w:sz w:val="20"/>
                <w:szCs w:val="20"/>
              </w:rPr>
              <w:t>*</w:t>
            </w: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0.604</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0.417</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0.875</w:t>
            </w:r>
            <w:r>
              <w:rPr>
                <w:rFonts w:ascii="Times New Roman" w:cs="Times New Roman" w:hAnsi="Times New Roman"/>
                <w:color w:val="000000"/>
                <w:sz w:val="20"/>
                <w:szCs w:val="20"/>
              </w:rPr>
              <w:t>]</w:t>
            </w:r>
          </w:p>
        </w:tc>
      </w:tr>
      <w:tr>
        <w:tblPrEx/>
        <w:trPr>
          <w:cantSplit/>
          <w:jc w:val="left"/>
        </w:trPr>
        <w:tc>
          <w:tcPr>
            <w:tcW w:w="27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secondary and above</w:t>
            </w:r>
          </w:p>
        </w:tc>
        <w:tc>
          <w:tcPr>
            <w:tcW w:w="54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-0.972</w:t>
            </w:r>
          </w:p>
        </w:tc>
        <w:tc>
          <w:tcPr>
            <w:tcW w:w="108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0.231</w:t>
            </w:r>
          </w:p>
        </w:tc>
        <w:tc>
          <w:tcPr>
            <w:tcW w:w="90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17.639</w:t>
            </w:r>
          </w:p>
        </w:tc>
        <w:tc>
          <w:tcPr>
            <w:tcW w:w="9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0.001</w:t>
            </w:r>
            <w:r>
              <w:rPr>
                <w:rFonts w:ascii="Times New Roman" w:cs="Times New Roman" w:hAnsi="Times New Roman"/>
                <w:color w:val="000000"/>
                <w:sz w:val="20"/>
                <w:szCs w:val="20"/>
              </w:rPr>
              <w:t>*</w:t>
            </w:r>
          </w:p>
        </w:tc>
        <w:tc>
          <w:tcPr>
            <w:tcW w:w="90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0.379</w:t>
            </w:r>
          </w:p>
        </w:tc>
        <w:tc>
          <w:tcPr>
            <w:tcW w:w="9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0.242</w:t>
            </w:r>
          </w:p>
        </w:tc>
        <w:tc>
          <w:tcPr>
            <w:tcW w:w="108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0.596</w:t>
            </w:r>
            <w:r>
              <w:rPr>
                <w:rFonts w:ascii="Times New Roman" w:cs="Times New Roman" w:hAnsi="Times New Roman"/>
                <w:color w:val="000000"/>
                <w:sz w:val="20"/>
                <w:szCs w:val="20"/>
              </w:rPr>
              <w:t>]</w:t>
            </w:r>
          </w:p>
        </w:tc>
      </w:tr>
      <w:tr>
        <w:tblPrEx/>
        <w:trPr>
          <w:cantSplit/>
          <w:jc w:val="left"/>
        </w:trPr>
        <w:tc>
          <w:tcPr>
            <w:tcW w:w="27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ART Adherence</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Poor        </w:t>
            </w:r>
            <w:r>
              <w:rPr>
                <w:rFonts w:ascii="Times New Roman" w:cs="Times New Roman" w:hAnsi="Times New Roman"/>
                <w:color w:val="000000"/>
                <w:sz w:val="20"/>
                <w:szCs w:val="20"/>
              </w:rPr>
              <w:t>(</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Good </w:t>
            </w:r>
          </w:p>
        </w:tc>
        <w:tc>
          <w:tcPr>
            <w:tcW w:w="54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-0.7881</w:t>
            </w:r>
          </w:p>
        </w:tc>
        <w:tc>
          <w:tcPr>
            <w:tcW w:w="108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0.172</w:t>
            </w:r>
          </w:p>
        </w:tc>
        <w:tc>
          <w:tcPr>
            <w:tcW w:w="90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5.068</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0.024</w:t>
            </w:r>
            <w:r>
              <w:rPr>
                <w:rFonts w:ascii="Times New Roman" w:cs="Times New Roman" w:hAnsi="Times New Roman"/>
                <w:color w:val="000000"/>
                <w:sz w:val="20"/>
                <w:szCs w:val="20"/>
              </w:rPr>
              <w:t>*</w:t>
            </w:r>
          </w:p>
        </w:tc>
        <w:tc>
          <w:tcPr>
            <w:tcW w:w="90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0.454</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[0.284</w:t>
            </w:r>
          </w:p>
        </w:tc>
        <w:tc>
          <w:tcPr>
            <w:tcW w:w="108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,0.749]</w:t>
            </w:r>
          </w:p>
        </w:tc>
      </w:tr>
      <w:tr>
        <w:tblPrEx/>
        <w:trPr>
          <w:cantSplit/>
          <w:trHeight w:val="119" w:hRule="atLeast"/>
          <w:jc w:val="left"/>
        </w:trPr>
        <w:tc>
          <w:tcPr>
            <w:tcW w:w="279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b/>
                <w:color w:val="000000"/>
                <w:sz w:val="20"/>
                <w:szCs w:val="20"/>
              </w:rPr>
              <w:t>WHO clinical stage</w:t>
            </w:r>
          </w:p>
        </w:tc>
        <w:tc>
          <w:tcPr>
            <w:tcW w:w="54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w:t>
            </w:r>
          </w:p>
        </w:tc>
        <w:tc>
          <w:tcPr>
            <w:tcW w:w="99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tc>
        <w:tc>
          <w:tcPr>
            <w:tcW w:w="108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0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13.923</w:t>
            </w:r>
          </w:p>
        </w:tc>
        <w:tc>
          <w:tcPr>
            <w:tcW w:w="99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0.003</w:t>
            </w:r>
            <w:r>
              <w:rPr>
                <w:rFonts w:ascii="Times New Roman" w:cs="Times New Roman" w:hAnsi="Times New Roman"/>
                <w:color w:val="000000"/>
                <w:sz w:val="20"/>
                <w:szCs w:val="20"/>
              </w:rPr>
              <w:t>*</w:t>
            </w:r>
          </w:p>
        </w:tc>
        <w:tc>
          <w:tcPr>
            <w:tcW w:w="90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9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Pr>
                <w:rFonts w:ascii="Times New Roman" w:cs="Times New Roman" w:hAnsi="Times New Roman"/>
                <w:color w:val="000000"/>
                <w:sz w:val="20"/>
                <w:szCs w:val="20"/>
              </w:rPr>
            </w:pPr>
          </w:p>
        </w:tc>
        <w:tc>
          <w:tcPr>
            <w:tcW w:w="1080" w:type="dxa"/>
            <w:tcBorders>
              <w:top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tc>
      </w:tr>
      <w:tr>
        <w:tblPrEx/>
        <w:trPr>
          <w:cantSplit/>
          <w:trHeight w:val="188" w:hRule="atLeast"/>
          <w:jc w:val="left"/>
        </w:trPr>
        <w:tc>
          <w:tcPr>
            <w:tcW w:w="27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stage I     (</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tc>
        <w:tc>
          <w:tcPr>
            <w:tcW w:w="54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tc>
      </w:tr>
      <w:tr>
        <w:tblPrEx/>
        <w:trPr>
          <w:cantSplit/>
          <w:trHeight w:val="157" w:hRule="atLeast"/>
          <w:jc w:val="left"/>
        </w:trPr>
        <w:tc>
          <w:tcPr>
            <w:tcW w:w="27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stage II</w:t>
            </w:r>
          </w:p>
        </w:tc>
        <w:tc>
          <w:tcPr>
            <w:tcW w:w="54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0.325</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0.354</w:t>
            </w: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w:t>
            </w:r>
            <w:r>
              <w:rPr>
                <w:rFonts w:ascii="Times New Roman" w:cs="Times New Roman" w:hAnsi="Times New Roman"/>
                <w:color w:val="000000"/>
                <w:sz w:val="20"/>
                <w:szCs w:val="20"/>
              </w:rPr>
              <w:t>.845</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0.358</w:t>
            </w: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1.384</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0.692</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2.769</w:t>
            </w:r>
            <w:r>
              <w:rPr>
                <w:rFonts w:ascii="Times New Roman" w:cs="Times New Roman" w:hAnsi="Times New Roman"/>
                <w:color w:val="000000"/>
                <w:sz w:val="20"/>
                <w:szCs w:val="20"/>
              </w:rPr>
              <w:t>]</w:t>
            </w:r>
          </w:p>
        </w:tc>
      </w:tr>
      <w:tr>
        <w:tblPrEx/>
        <w:trPr>
          <w:cantSplit/>
          <w:trHeight w:val="187" w:hRule="atLeast"/>
          <w:jc w:val="left"/>
        </w:trPr>
        <w:tc>
          <w:tcPr>
            <w:tcW w:w="27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stage III</w:t>
            </w:r>
          </w:p>
        </w:tc>
        <w:tc>
          <w:tcPr>
            <w:tcW w:w="54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0.507</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0.351</w:t>
            </w: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w:t>
            </w:r>
            <w:r>
              <w:rPr>
                <w:rFonts w:ascii="Times New Roman" w:cs="Times New Roman" w:hAnsi="Times New Roman"/>
                <w:color w:val="000000"/>
                <w:sz w:val="20"/>
                <w:szCs w:val="20"/>
              </w:rPr>
              <w:t>.159</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0.022</w:t>
            </w:r>
            <w:r>
              <w:rPr>
                <w:rFonts w:ascii="Times New Roman" w:cs="Times New Roman" w:hAnsi="Times New Roman"/>
                <w:color w:val="000000"/>
                <w:sz w:val="20"/>
                <w:szCs w:val="20"/>
              </w:rPr>
              <w:t>*</w:t>
            </w:r>
          </w:p>
        </w:tc>
        <w:tc>
          <w:tcPr>
            <w:tcW w:w="9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1.650</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1.578</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2.290</w:t>
            </w:r>
            <w:r>
              <w:rPr>
                <w:rFonts w:ascii="Times New Roman" w:cs="Times New Roman" w:hAnsi="Times New Roman"/>
                <w:color w:val="000000"/>
                <w:sz w:val="20"/>
                <w:szCs w:val="20"/>
              </w:rPr>
              <w:t>]</w:t>
            </w:r>
          </w:p>
        </w:tc>
      </w:tr>
      <w:tr>
        <w:tblPrEx/>
        <w:trPr>
          <w:cantSplit/>
          <w:trHeight w:val="120" w:hRule="atLeast"/>
          <w:jc w:val="left"/>
        </w:trPr>
        <w:tc>
          <w:tcPr>
            <w:tcW w:w="27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stage IV</w:t>
            </w:r>
          </w:p>
        </w:tc>
        <w:tc>
          <w:tcPr>
            <w:tcW w:w="54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0.823</w:t>
            </w:r>
          </w:p>
        </w:tc>
        <w:tc>
          <w:tcPr>
            <w:tcW w:w="108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0.327</w:t>
            </w:r>
          </w:p>
        </w:tc>
        <w:tc>
          <w:tcPr>
            <w:tcW w:w="90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6.340</w:t>
            </w:r>
          </w:p>
        </w:tc>
        <w:tc>
          <w:tcPr>
            <w:tcW w:w="9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0.012</w:t>
            </w:r>
            <w:r>
              <w:rPr>
                <w:rFonts w:ascii="Times New Roman" w:cs="Times New Roman" w:hAnsi="Times New Roman"/>
                <w:color w:val="000000"/>
                <w:sz w:val="20"/>
                <w:szCs w:val="20"/>
              </w:rPr>
              <w:t>*</w:t>
            </w:r>
          </w:p>
        </w:tc>
        <w:tc>
          <w:tcPr>
            <w:tcW w:w="90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2.278</w:t>
            </w:r>
          </w:p>
        </w:tc>
        <w:tc>
          <w:tcPr>
            <w:tcW w:w="99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1.700</w:t>
            </w:r>
          </w:p>
        </w:tc>
        <w:tc>
          <w:tcPr>
            <w:tcW w:w="1080" w:type="dxa"/>
            <w:tcBorders>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4.323</w:t>
            </w:r>
            <w:r>
              <w:rPr>
                <w:rFonts w:ascii="Times New Roman" w:cs="Times New Roman" w:hAnsi="Times New Roman"/>
                <w:color w:val="000000"/>
                <w:sz w:val="20"/>
                <w:szCs w:val="20"/>
              </w:rPr>
              <w:t>]</w:t>
            </w:r>
          </w:p>
        </w:tc>
      </w:tr>
      <w:tr>
        <w:tblPrEx/>
        <w:trPr>
          <w:cantSplit/>
          <w:trHeight w:val="100" w:hRule="atLeast"/>
          <w:jc w:val="left"/>
        </w:trPr>
        <w:tc>
          <w:tcPr>
            <w:tcW w:w="27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Base line CD4</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sz w:val="20"/>
                <w:szCs w:val="20"/>
              </w:rPr>
              <w:t>&lt; 200 cells/</w:t>
            </w:r>
            <w:r>
              <w:rPr>
                <w:rFonts w:ascii="Cambria Math" w:cs="Times New Roman" w:eastAsia="TimesNewRoman" w:hAnsi="Cambria Math"/>
                <w:sz w:val="20"/>
                <w:szCs w:val="20"/>
              </w:rPr>
              <w:t>  </w:t>
            </w:r>
            <w:r>
              <w:rPr>
                <w:rFonts w:ascii="Times New Roman" w:cs="Times New Roman" w:hAnsi="Times New Roman"/>
                <w:sz w:val="20"/>
                <w:szCs w:val="20"/>
              </w:rPr>
              <w:t>l</w:t>
            </w:r>
            <w:r>
              <w:rPr>
                <w:rFonts w:ascii="Times New Roman" w:cs="Times New Roman" w:hAnsi="Times New Roman"/>
                <w:color w:val="000000"/>
                <w:sz w:val="20"/>
                <w:szCs w:val="20"/>
              </w:rPr>
              <w:t>(</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sz w:val="20"/>
                <w:szCs w:val="20"/>
              </w:rPr>
              <w:t xml:space="preserve"> 200 cells/</w:t>
            </w:r>
            <w:r>
              <w:rPr>
                <w:rFonts w:ascii="Cambria Math" w:cs="Times New Roman" w:eastAsia="TimesNewRoman" w:hAnsi="Cambria Math"/>
                <w:sz w:val="20"/>
                <w:szCs w:val="20"/>
              </w:rPr>
              <w:t>  </w:t>
            </w:r>
            <w:r>
              <w:rPr>
                <w:rFonts w:ascii="Times New Roman" w:cs="Times New Roman" w:hAnsi="Times New Roman"/>
                <w:sz w:val="20"/>
                <w:szCs w:val="20"/>
              </w:rPr>
              <w:t>l</w:t>
            </w:r>
          </w:p>
        </w:tc>
        <w:tc>
          <w:tcPr>
            <w:tcW w:w="54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-0.4033</w:t>
            </w:r>
          </w:p>
        </w:tc>
        <w:tc>
          <w:tcPr>
            <w:tcW w:w="108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0.1734</w:t>
            </w:r>
          </w:p>
        </w:tc>
        <w:tc>
          <w:tcPr>
            <w:tcW w:w="90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5.379</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0.020</w:t>
            </w:r>
            <w:r>
              <w:rPr>
                <w:rFonts w:ascii="Times New Roman" w:cs="Times New Roman" w:hAnsi="Times New Roman"/>
                <w:color w:val="000000"/>
                <w:sz w:val="20"/>
                <w:szCs w:val="20"/>
              </w:rPr>
              <w:t>*</w:t>
            </w:r>
          </w:p>
        </w:tc>
        <w:tc>
          <w:tcPr>
            <w:tcW w:w="90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0.685</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[0.495</w:t>
            </w:r>
          </w:p>
        </w:tc>
        <w:tc>
          <w:tcPr>
            <w:tcW w:w="108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0.907</w:t>
            </w:r>
            <w:r>
              <w:rPr>
                <w:rFonts w:ascii="Times New Roman" w:cs="Times New Roman" w:hAnsi="Times New Roman"/>
                <w:color w:val="000000"/>
                <w:sz w:val="20"/>
                <w:szCs w:val="20"/>
              </w:rPr>
              <w:t>]</w:t>
            </w:r>
          </w:p>
        </w:tc>
      </w:tr>
      <w:tr>
        <w:tblPrEx/>
        <w:trPr>
          <w:cantSplit/>
          <w:jc w:val="left"/>
        </w:trPr>
        <w:tc>
          <w:tcPr>
            <w:tcW w:w="27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Substance use</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No       (</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Yes      </w:t>
            </w:r>
          </w:p>
        </w:tc>
        <w:tc>
          <w:tcPr>
            <w:tcW w:w="54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0.6034</w:t>
            </w:r>
          </w:p>
        </w:tc>
        <w:tc>
          <w:tcPr>
            <w:tcW w:w="108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0.184</w:t>
            </w:r>
          </w:p>
        </w:tc>
        <w:tc>
          <w:tcPr>
            <w:tcW w:w="90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10.739</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0.001</w:t>
            </w:r>
            <w:r>
              <w:rPr>
                <w:rFonts w:ascii="Times New Roman" w:cs="Times New Roman" w:hAnsi="Times New Roman"/>
                <w:color w:val="000000"/>
                <w:sz w:val="20"/>
                <w:szCs w:val="20"/>
              </w:rPr>
              <w:t>*</w:t>
            </w:r>
          </w:p>
        </w:tc>
        <w:tc>
          <w:tcPr>
            <w:tcW w:w="90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1.828</w:t>
            </w:r>
          </w:p>
        </w:tc>
        <w:tc>
          <w:tcPr>
            <w:tcW w:w="99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1.275</w:t>
            </w:r>
          </w:p>
        </w:tc>
        <w:tc>
          <w:tcPr>
            <w:tcW w:w="1080" w:type="dxa"/>
            <w:tcBorders>
              <w:top w:val="single" w:sz="2" w:space="0" w:color="auto"/>
              <w:bottom w:val="single" w:sz="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2.621</w:t>
            </w:r>
            <w:r>
              <w:rPr>
                <w:rFonts w:ascii="Times New Roman" w:cs="Times New Roman" w:hAnsi="Times New Roman"/>
                <w:color w:val="000000"/>
                <w:sz w:val="20"/>
                <w:szCs w:val="20"/>
              </w:rPr>
              <w:t>]</w:t>
            </w:r>
          </w:p>
        </w:tc>
      </w:tr>
      <w:tr>
        <w:tblPrEx/>
        <w:trPr>
          <w:cantSplit/>
          <w:jc w:val="left"/>
        </w:trPr>
        <w:tc>
          <w:tcPr>
            <w:tcW w:w="279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TB co-infection</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Not infected (</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Co-infected</w:t>
            </w:r>
          </w:p>
        </w:tc>
        <w:tc>
          <w:tcPr>
            <w:tcW w:w="54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w:t>
            </w:r>
          </w:p>
        </w:tc>
        <w:tc>
          <w:tcPr>
            <w:tcW w:w="99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0.3775</w:t>
            </w:r>
          </w:p>
        </w:tc>
        <w:tc>
          <w:tcPr>
            <w:tcW w:w="108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0.188</w:t>
            </w:r>
          </w:p>
        </w:tc>
        <w:tc>
          <w:tcPr>
            <w:tcW w:w="90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4.021</w:t>
            </w:r>
          </w:p>
        </w:tc>
        <w:tc>
          <w:tcPr>
            <w:tcW w:w="99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0.045</w:t>
            </w:r>
            <w:r>
              <w:rPr>
                <w:rFonts w:ascii="Times New Roman" w:cs="Times New Roman" w:hAnsi="Times New Roman"/>
                <w:color w:val="000000"/>
                <w:sz w:val="20"/>
                <w:szCs w:val="20"/>
              </w:rPr>
              <w:t>*</w:t>
            </w:r>
          </w:p>
        </w:tc>
        <w:tc>
          <w:tcPr>
            <w:tcW w:w="90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1.458</w:t>
            </w:r>
          </w:p>
        </w:tc>
        <w:tc>
          <w:tcPr>
            <w:tcW w:w="99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1.008</w:t>
            </w:r>
          </w:p>
        </w:tc>
        <w:tc>
          <w:tcPr>
            <w:tcW w:w="1080" w:type="dxa"/>
            <w:tcBorders>
              <w:top w:val="single" w:sz="2" w:space="0" w:color="auto"/>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2.109</w:t>
            </w:r>
            <w:r>
              <w:rPr>
                <w:rFonts w:ascii="Times New Roman" w:cs="Times New Roman" w:hAnsi="Times New Roman"/>
                <w:color w:val="000000"/>
                <w:sz w:val="20"/>
                <w:szCs w:val="20"/>
              </w:rPr>
              <w:t>]</w:t>
            </w:r>
          </w:p>
        </w:tc>
      </w:tr>
    </w:tbl>
    <w:p>
      <w:pPr>
        <w:pStyle w:val="style0"/>
        <w:autoSpaceDE w:val="false"/>
        <w:autoSpaceDN w:val="false"/>
        <w:adjustRightInd w:val="false"/>
        <w:spacing w:after="0" w:lineRule="auto" w:line="240"/>
        <w:ind w:firstLine="270" w:left="-270"/>
        <w:jc w:val="both"/>
        <w:rPr>
          <w:rFonts w:ascii="Times New Roman" w:cs="Times New Roman" w:hAnsi="Times New Roman"/>
          <w:i/>
          <w:sz w:val="20"/>
          <w:szCs w:val="20"/>
        </w:rPr>
      </w:pPr>
      <w:r>
        <w:rPr>
          <w:i/>
          <w:iCs/>
          <w:sz w:val="20"/>
          <w:szCs w:val="20"/>
        </w:rPr>
        <w:t xml:space="preserve">Source: </w:t>
      </w:r>
      <w:r>
        <w:rPr>
          <w:rFonts w:ascii="Times New Roman" w:cs="Times New Roman" w:hAnsi="Times New Roman"/>
          <w:i/>
          <w:sz w:val="20"/>
          <w:szCs w:val="20"/>
        </w:rPr>
        <w:t xml:space="preserve">Hossana </w:t>
      </w:r>
      <w:r>
        <w:rPr>
          <w:rFonts w:ascii="Times New Roman" w:cs="Times New Roman" w:hAnsi="Times New Roman"/>
          <w:bCs/>
          <w:i/>
          <w:sz w:val="20"/>
          <w:szCs w:val="20"/>
        </w:rPr>
        <w:t>Queen Elleni Mohamad Memorial Hospital, SNNPR, Ethiopia;</w:t>
      </w:r>
      <w:r>
        <w:rPr>
          <w:rFonts w:ascii="Times New Roman" w:cs="Times New Roman" w:hAnsi="Times New Roman"/>
          <w:i/>
          <w:sz w:val="20"/>
          <w:szCs w:val="20"/>
        </w:rPr>
        <w:t xml:space="preserve"> from 1</w:t>
      </w:r>
      <w:r>
        <w:rPr>
          <w:rFonts w:ascii="Times New Roman" w:cs="Times New Roman" w:hAnsi="Times New Roman"/>
          <w:i/>
          <w:sz w:val="20"/>
          <w:szCs w:val="20"/>
          <w:vertAlign w:val="superscript"/>
        </w:rPr>
        <w:t>st</w:t>
      </w:r>
      <w:r>
        <w:rPr>
          <w:rFonts w:ascii="Times New Roman" w:cs="Times New Roman" w:hAnsi="Times New Roman"/>
          <w:i/>
          <w:sz w:val="20"/>
          <w:szCs w:val="20"/>
        </w:rPr>
        <w:t xml:space="preserve"> February 2011 to 1</w:t>
      </w:r>
      <w:r>
        <w:rPr>
          <w:rFonts w:ascii="Times New Roman" w:cs="Times New Roman" w:hAnsi="Times New Roman"/>
          <w:i/>
          <w:sz w:val="20"/>
          <w:szCs w:val="20"/>
          <w:vertAlign w:val="superscript"/>
        </w:rPr>
        <w:t>st</w:t>
      </w:r>
      <w:r>
        <w:rPr>
          <w:rFonts w:ascii="Times New Roman" w:cs="Times New Roman" w:hAnsi="Times New Roman"/>
          <w:i/>
          <w:sz w:val="20"/>
          <w:szCs w:val="20"/>
        </w:rPr>
        <w:t xml:space="preserve"> January   </w:t>
      </w:r>
    </w:p>
    <w:p>
      <w:pPr>
        <w:pStyle w:val="style0"/>
        <w:autoSpaceDE w:val="false"/>
        <w:autoSpaceDN w:val="false"/>
        <w:adjustRightInd w:val="false"/>
        <w:spacing w:after="0" w:lineRule="auto" w:line="240"/>
        <w:ind w:firstLine="270" w:left="-270"/>
        <w:jc w:val="both"/>
        <w:rPr>
          <w:sz w:val="20"/>
          <w:szCs w:val="20"/>
        </w:rPr>
      </w:pPr>
      <w:r>
        <w:rPr>
          <w:rFonts w:ascii="Times New Roman" w:cs="Times New Roman" w:hAnsi="Times New Roman"/>
          <w:i/>
          <w:sz w:val="20"/>
          <w:szCs w:val="20"/>
        </w:rPr>
        <w:t>2016</w:t>
      </w:r>
      <w:r>
        <w:rPr>
          <w:i/>
          <w:iCs/>
          <w:sz w:val="20"/>
          <w:szCs w:val="20"/>
        </w:rPr>
        <w:t xml:space="preserve">* indicates statistical significance at 0.05 level of significance.  </w:t>
      </w:r>
      <w:r>
        <w:rPr>
          <w:i/>
          <w:sz w:val="20"/>
          <w:szCs w:val="20"/>
        </w:rPr>
        <w:t>SE= Standard Error, HR= Hazard Ratio,            CI = Confidence Interval, Ref. = Reference, DF= Degrees of Freedom,</w:t>
      </w:r>
      <w:r>
        <w:rPr>
          <w:i/>
          <w:iCs/>
          <w:sz w:val="20"/>
          <w:szCs w:val="20"/>
        </w:rPr>
        <w:t xml:space="preserve">AIC value= </w:t>
      </w:r>
      <w:r>
        <w:rPr>
          <w:rFonts w:ascii="Times New Roman" w:cs="Times New Roman" w:hAnsi="Times New Roman"/>
          <w:sz w:val="20"/>
          <w:szCs w:val="20"/>
        </w:rPr>
        <w:t>1698.571</w:t>
      </w:r>
    </w:p>
    <w:bookmarkStart w:id="297" w:name="_Toc375704407"/>
    <w:bookmarkStart w:id="298" w:name="_Toc414498735"/>
    <w:bookmarkStart w:id="299" w:name="_Toc450285341"/>
    <w:bookmarkStart w:id="300" w:name="_Toc450288357"/>
    <w:bookmarkStart w:id="301" w:name="_Toc450292806"/>
    <w:bookmarkStart w:id="302" w:name="_Toc450294533"/>
    <w:bookmarkStart w:id="303" w:name="_Toc450294916"/>
    <w:bookmarkStart w:id="304" w:name="_Toc451522874"/>
    <w:p>
      <w:pPr>
        <w:pStyle w:val="style4"/>
        <w:spacing w:after="240" w:lineRule="auto" w:line="240"/>
        <w:ind w:firstLine="270" w:left="-270" w:right="144"/>
        <w:rPr>
          <w:rFonts w:ascii="Times New Roman" w:cs="Times New Roman" w:hAnsi="Times New Roman"/>
          <w:i w:val="false"/>
          <w:color w:val="auto"/>
          <w:sz w:val="20"/>
          <w:szCs w:val="20"/>
        </w:rPr>
      </w:pPr>
      <w:r>
        <w:rPr>
          <w:rFonts w:ascii="Times New Roman" w:cs="Times New Roman" w:hAnsi="Times New Roman"/>
          <w:i w:val="false"/>
          <w:color w:val="auto"/>
          <w:sz w:val="20"/>
          <w:szCs w:val="20"/>
        </w:rPr>
        <w:t>4.3.3</w:t>
      </w:r>
      <w:r>
        <w:rPr>
          <w:rFonts w:ascii="Times New Roman" w:cs="Times New Roman" w:hAnsi="Times New Roman"/>
          <w:i w:val="false"/>
          <w:color w:val="auto"/>
          <w:sz w:val="20"/>
          <w:szCs w:val="20"/>
        </w:rPr>
        <w:t>.3.</w:t>
      </w:r>
      <w:r>
        <w:rPr>
          <w:rFonts w:ascii="Times New Roman" w:cs="Times New Roman" w:hAnsi="Times New Roman"/>
          <w:i w:val="false"/>
          <w:color w:val="auto"/>
          <w:sz w:val="20"/>
          <w:szCs w:val="20"/>
        </w:rPr>
        <w:t xml:space="preserve"> Overall Goodness of Fit</w:t>
      </w:r>
      <w:bookmarkEnd w:id="297"/>
      <w:bookmarkEnd w:id="298"/>
      <w:bookmarkEnd w:id="299"/>
      <w:bookmarkEnd w:id="300"/>
      <w:bookmarkEnd w:id="301"/>
      <w:bookmarkEnd w:id="302"/>
      <w:bookmarkEnd w:id="303"/>
      <w:bookmarkEnd w:id="304"/>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final step in the model assessment is to measure the overall goodness of fit. For this</w:t>
      </w:r>
      <w:r>
        <w:rPr>
          <w:rFonts w:ascii="Times New Roman" w:cs="Times New Roman" w:hAnsi="Times New Roman"/>
          <w:sz w:val="20"/>
          <w:szCs w:val="20"/>
        </w:rPr>
        <w:t xml:space="preserve"> o</w:t>
      </w:r>
      <w:r>
        <w:rPr>
          <w:rFonts w:ascii="Times New Roman" w:cs="Times New Roman" w:hAnsi="Times New Roman"/>
          <w:sz w:val="20"/>
          <w:szCs w:val="20"/>
        </w:rPr>
        <w:t>bjective the study</w:t>
      </w:r>
      <w:r>
        <w:rPr>
          <w:rFonts w:ascii="Times New Roman" w:cs="Times New Roman" w:hAnsi="Times New Roman"/>
          <w:sz w:val="20"/>
          <w:szCs w:val="20"/>
        </w:rPr>
        <w:t xml:space="preserve"> use the Cox-Snell residuals,</w:t>
      </w:r>
      <w:r>
        <w:rPr>
          <w:rFonts w:ascii="Times New Roman" w:cs="Times New Roman" w:hAnsi="Times New Roman"/>
          <w:i/>
          <w:iCs/>
          <w:sz w:val="20"/>
          <w:szCs w:val="20"/>
        </w:rPr>
        <w:t>R</w:t>
      </w:r>
      <w:r>
        <w:rPr>
          <w:rFonts w:ascii="Times New Roman" w:cs="Times New Roman" w:hAnsi="Times New Roman"/>
          <w:sz w:val="20"/>
          <w:szCs w:val="20"/>
          <w:vertAlign w:val="superscript"/>
        </w:rPr>
        <w:t>2</w:t>
      </w:r>
      <w:r>
        <w:rPr>
          <w:rFonts w:ascii="Times New Roman" w:cs="Times New Roman" w:hAnsi="Times New Roman"/>
          <w:sz w:val="20"/>
          <w:szCs w:val="20"/>
        </w:rPr>
        <w:t>and</w:t>
      </w:r>
      <w:r>
        <w:rPr>
          <w:rFonts w:ascii="Times New Roman" w:cs="Times New Roman" w:hAnsi="Times New Roman"/>
          <w:sz w:val="20"/>
          <w:szCs w:val="20"/>
        </w:rPr>
        <w:t xml:space="preserve"> Likelihood Ratio, Score and Wald tests.  Plot of the Cox-Snell residuals was applied to test t</w:t>
      </w:r>
      <w:r>
        <w:rPr>
          <w:rFonts w:ascii="Times New Roman" w:cs="Times New Roman" w:hAnsi="Times New Roman"/>
          <w:sz w:val="20"/>
          <w:szCs w:val="20"/>
        </w:rPr>
        <w:t>he overall fit of the model. The</w:t>
      </w:r>
      <w:r>
        <w:rPr>
          <w:rFonts w:ascii="Times New Roman" w:cs="Times New Roman" w:hAnsi="Times New Roman"/>
          <w:sz w:val="20"/>
          <w:szCs w:val="20"/>
        </w:rPr>
        <w:t xml:space="preserve"> plot of the Nelson-Aalen estimate of the cumulative hazard function against the Cox-Snell resi</w:t>
      </w:r>
      <w:r>
        <w:rPr>
          <w:rFonts w:ascii="Times New Roman" w:cs="Times New Roman" w:hAnsi="Times New Roman"/>
          <w:sz w:val="20"/>
          <w:szCs w:val="20"/>
        </w:rPr>
        <w:t>duals is presented in Figure 4.4</w:t>
      </w:r>
      <w:r>
        <w:rPr>
          <w:rFonts w:ascii="Times New Roman" w:cs="Times New Roman" w:hAnsi="Times New Roman"/>
          <w:sz w:val="20"/>
          <w:szCs w:val="20"/>
        </w:rPr>
        <w:t xml:space="preserve"> below. It can be seen that the plot of the residuals in Figure is almost close to the 45</w:t>
      </w:r>
      <w:r>
        <w:rPr>
          <w:rFonts w:ascii="Times New Roman" w:cs="Times New Roman" w:hAnsi="Times New Roman"/>
          <w:sz w:val="20"/>
          <w:szCs w:val="20"/>
          <w:vertAlign w:val="superscript"/>
        </w:rPr>
        <w:t>0</w:t>
      </w:r>
      <w:r>
        <w:rPr>
          <w:rFonts w:ascii="Times New Roman" w:cs="Times New Roman" w:hAnsi="Times New Roman"/>
          <w:sz w:val="20"/>
          <w:szCs w:val="20"/>
        </w:rPr>
        <w:t xml:space="preserve"> straight line through the origin. Thus, the plot is evidence that the model fitted to the data is satisfactory. However, there is little evidence of a systematic deviation from the straight line at the left, this can be expected even if we have a well-fitting Cox model because of the reduced effective sample size caused by prior failures and censoring (Khanal 2009).</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noProof/>
          <w:sz w:val="20"/>
          <w:szCs w:val="20"/>
        </w:rPr>
        <w:drawing>
          <wp:inline distT="0" distB="0" distL="0" distR="0">
            <wp:extent cx="5522976" cy="3079699"/>
            <wp:effectExtent l="0" t="0" r="0" b="0"/>
            <wp:docPr id="1030"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true">
                    <a:blip r:embed="rId6" cstate="print">
                      <a:extLst>
                        <a:ext uri="{28A0092B-C50C-407E-A947-70E740481C1C}">
                          <a14:useLocalDpi xmlns:a14="http://schemas.microsoft.com/office/drawing/2010/main" val="0"/>
                        </a:ext>
                      </a:extLst>
                    </a:blip>
                    <a:srcRect l="0" t="0" r="0" b="0"/>
                    <a:stretch>
                      <a:fillRect/>
                    </a:stretch>
                  </pic:blipFill>
                  <pic:spPr>
                    <a:xfrm>
                      <a:off x="0" y="0"/>
                      <a:ext cx="5522976" cy="3079699"/>
                    </a:xfrm>
                    <a:prstGeom prst="rect">
                      <a:avLst/>
                    </a:prstGeom>
                  </pic:spPr>
                </pic:pic>
              </a:graphicData>
            </a:graphic>
          </wp:inline>
        </w:drawing>
      </w:r>
    </w:p>
    <w:bookmarkStart w:id="305" w:name="_Toc450288358"/>
    <w:bookmarkStart w:id="306" w:name="_Toc450291588"/>
    <w:bookmarkStart w:id="307" w:name="_Toc450292807"/>
    <w:bookmarkStart w:id="308" w:name="_Toc450294534"/>
    <w:bookmarkStart w:id="309" w:name="_Toc450294917"/>
    <w:bookmarkStart w:id="310" w:name="_Toc450525941"/>
    <w:bookmarkStart w:id="311" w:name="_Toc450724174"/>
    <w:bookmarkStart w:id="312" w:name="_Toc450724419"/>
    <w:bookmarkStart w:id="313" w:name="_Toc451480403"/>
    <w:bookmarkStart w:id="314" w:name="_Toc451493929"/>
    <w:bookmarkStart w:id="315" w:name="_Toc451494730"/>
    <w:bookmarkStart w:id="316" w:name="_Toc451496324"/>
    <w:bookmarkStart w:id="317" w:name="_Toc451496827"/>
    <w:bookmarkStart w:id="318" w:name="_Toc451522875"/>
    <w:bookmarkStart w:id="319" w:name="_Toc451742113"/>
    <w:bookmarkStart w:id="320" w:name="_Toc451742854"/>
    <w:bookmarkStart w:id="321" w:name="_Toc452191115"/>
    <w:bookmarkStart w:id="322" w:name="_Toc452191664"/>
    <w:bookmarkStart w:id="323" w:name="_Toc452195085"/>
    <w:p>
      <w:pPr>
        <w:pStyle w:val="style1"/>
        <w:spacing w:before="0" w:lineRule="auto" w:line="240"/>
        <w:ind w:firstLine="270" w:left="-270"/>
        <w:rPr>
          <w:rFonts w:ascii="Times New Roman" w:cs="Times New Roman" w:hAnsi="Times New Roman"/>
          <w:b w:val="false"/>
          <w:color w:val="auto"/>
          <w:sz w:val="20"/>
          <w:szCs w:val="20"/>
        </w:rPr>
      </w:pPr>
      <w:r>
        <w:rPr>
          <w:rFonts w:ascii="Times New Roman" w:cs="Times New Roman" w:hAnsi="Times New Roman"/>
          <w:color w:val="auto"/>
          <w:sz w:val="20"/>
          <w:szCs w:val="20"/>
        </w:rPr>
        <w:t>Figure 4.</w:t>
      </w:r>
      <w:r>
        <w:rPr>
          <w:rFonts w:ascii="Times New Roman" w:cs="Times New Roman" w:hAnsi="Times New Roman"/>
          <w:color w:val="auto"/>
          <w:sz w:val="20"/>
          <w:szCs w:val="20"/>
        </w:rPr>
        <w:t>4</w:t>
      </w:r>
      <w:r>
        <w:rPr>
          <w:rFonts w:ascii="Times New Roman" w:cs="Times New Roman" w:hAnsi="Times New Roman"/>
          <w:b w:val="false"/>
          <w:color w:val="auto"/>
          <w:sz w:val="20"/>
          <w:szCs w:val="20"/>
        </w:rPr>
        <w:t>: Cumulative hazard plot of the Cox-Snell residual for final Cox PH model</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An adequate model is a model with lowR</w:t>
      </w:r>
      <w:r>
        <w:rPr>
          <w:rFonts w:ascii="Times New Roman" w:cs="Times New Roman" w:hAnsi="Times New Roman"/>
          <w:sz w:val="20"/>
          <w:szCs w:val="20"/>
          <w:vertAlign w:val="superscript"/>
        </w:rPr>
        <w:t>2</w:t>
      </w:r>
      <w:r>
        <w:rPr>
          <w:rFonts w:ascii="Times New Roman" w:cs="Times New Roman" w:hAnsi="Times New Roman"/>
          <w:sz w:val="20"/>
          <w:szCs w:val="20"/>
        </w:rPr>
        <w:t xml:space="preserve"> due to high percent of censored data. The value of the -2Log-Likelihood of the mo</w:t>
      </w:r>
      <w:r>
        <w:rPr>
          <w:rFonts w:ascii="Times New Roman" w:cs="Times New Roman" w:hAnsi="Times New Roman"/>
          <w:sz w:val="20"/>
          <w:szCs w:val="20"/>
        </w:rPr>
        <w:t>del with covariates in table 4.6</w:t>
      </w:r>
      <w:r>
        <w:rPr>
          <w:rFonts w:ascii="Times New Roman" w:cs="Times New Roman" w:hAnsi="Times New Roman"/>
          <w:sz w:val="20"/>
          <w:szCs w:val="20"/>
        </w:rPr>
        <w:t xml:space="preserve"> which is equal to 1649.303 and the -2Log-Likelihood for the null or empty model equals 1707.449. The measure of goodness of fit R</w:t>
      </w:r>
      <w:r>
        <w:rPr>
          <w:rFonts w:ascii="Times New Roman" w:cs="Times New Roman" w:hAnsi="Times New Roman"/>
          <w:sz w:val="20"/>
          <w:szCs w:val="20"/>
          <w:vertAlign w:val="superscript"/>
        </w:rPr>
        <w:t>2</w:t>
      </w:r>
      <w:r>
        <w:rPr>
          <w:rFonts w:ascii="Times New Roman" w:cs="Times New Roman" w:hAnsi="Times New Roman"/>
          <w:sz w:val="20"/>
          <w:szCs w:val="20"/>
          <w:vertAlign w:val="subscript"/>
        </w:rPr>
        <w:t>p</w:t>
      </w:r>
      <w:r>
        <w:rPr>
          <w:rFonts w:ascii="Times New Roman" w:cs="Times New Roman" w:hAnsi="Times New Roman"/>
          <w:sz w:val="20"/>
          <w:szCs w:val="20"/>
        </w:rPr>
        <w:t xml:space="preserve"> is calculated as: </w:t>
      </w:r>
      <w:r>
        <w:rPr>
          <w:rFonts w:ascii="Times New Roman" w:cs="Times New Roman" w:hAnsi="Times New Roman"/>
          <w:bCs/>
          <w:sz w:val="20"/>
          <w:szCs w:val="20"/>
        </w:rPr>
        <w:t>=1- exp[</w:t>
      </w:r>
      <w:r>
        <w:rPr>
          <w:rFonts w:ascii="Times New Roman" w:cs="Times New Roman" w:hAnsi="Times New Roman"/>
          <w:bCs/>
          <w:sz w:val="20"/>
          <w:szCs w:val="20"/>
        </w:rPr>
        <w:t>(L</w:t>
      </w:r>
      <w:r>
        <w:rPr>
          <w:rFonts w:ascii="Times New Roman" w:cs="Times New Roman" w:hAnsi="Times New Roman"/>
          <w:bCs/>
          <w:sz w:val="20"/>
          <w:szCs w:val="20"/>
          <w:vertAlign w:val="subscript"/>
        </w:rPr>
        <w:t xml:space="preserve">O </w:t>
      </w:r>
      <w:r>
        <w:rPr>
          <w:rFonts w:ascii="Times New Roman" w:cs="Times New Roman" w:hAnsi="Times New Roman"/>
          <w:bCs/>
          <w:sz w:val="20"/>
          <w:szCs w:val="20"/>
        </w:rPr>
        <w:t>- L</w:t>
      </w:r>
      <w:r>
        <w:rPr>
          <w:rFonts w:ascii="Times New Roman" w:cs="Times New Roman" w:hAnsi="Times New Roman"/>
          <w:bCs/>
          <w:sz w:val="20"/>
          <w:szCs w:val="20"/>
          <w:vertAlign w:val="subscript"/>
        </w:rPr>
        <w:t>p</w:t>
      </w:r>
      <w:r>
        <w:rPr>
          <w:rFonts w:ascii="Times New Roman" w:cs="Times New Roman" w:hAnsi="Times New Roman"/>
          <w:bCs/>
          <w:sz w:val="20"/>
          <w:szCs w:val="20"/>
        </w:rPr>
        <w:t>)] = 1-exp[</w:t>
      </w:r>
      <w:r>
        <w:rPr>
          <w:rFonts w:ascii="Times New Roman" w:cs="Times New Roman" w:hAnsi="Times New Roman"/>
          <w:bCs/>
          <w:sz w:val="20"/>
          <w:szCs w:val="20"/>
        </w:rPr>
        <w:t>((-853.7245-(-824.65))] = 0.06</w:t>
      </w:r>
      <w:r>
        <w:rPr>
          <w:rFonts w:ascii="Times New Roman" w:cs="Times New Roman" w:hAnsi="Times New Roman"/>
          <w:bCs/>
          <w:sz w:val="20"/>
          <w:szCs w:val="20"/>
        </w:rPr>
        <w:t>04</w:t>
      </w:r>
      <w:r>
        <w:rPr>
          <w:rFonts w:ascii="Times New Roman" w:cs="Times New Roman" w:hAnsi="Times New Roman"/>
          <w:bCs/>
          <w:sz w:val="20"/>
          <w:szCs w:val="20"/>
        </w:rPr>
        <w:t xml:space="preserve">. </w:t>
      </w:r>
      <w:r>
        <w:rPr>
          <w:rFonts w:ascii="Times New Roman" w:cs="Times New Roman" w:hAnsi="Times New Roman"/>
          <w:sz w:val="20"/>
          <w:szCs w:val="20"/>
        </w:rPr>
        <w:t xml:space="preserve">which is small, indicating that the model fit the data well. </w:t>
      </w:r>
      <w:r>
        <w:rPr>
          <w:rFonts w:ascii="Times New Roman" w:cs="Times New Roman" w:hAnsi="Times New Roman"/>
          <w:sz w:val="20"/>
          <w:szCs w:val="20"/>
        </w:rPr>
        <w:t>Furthermore, the results of the</w:t>
      </w:r>
      <w:r>
        <w:rPr>
          <w:rFonts w:ascii="Times New Roman" w:cs="Times New Roman" w:hAnsi="Times New Roman"/>
          <w:sz w:val="20"/>
          <w:szCs w:val="20"/>
        </w:rPr>
        <w:t>Likelihood ratio, Score and Wald tests for model goodne</w:t>
      </w:r>
      <w:r>
        <w:rPr>
          <w:rFonts w:ascii="Times New Roman" w:cs="Times New Roman" w:hAnsi="Times New Roman"/>
          <w:sz w:val="20"/>
          <w:szCs w:val="20"/>
        </w:rPr>
        <w:t>ss of fit displayed in Table 4.6</w:t>
      </w:r>
      <w:r>
        <w:rPr>
          <w:rFonts w:ascii="Times New Roman" w:cs="Times New Roman" w:hAnsi="Times New Roman"/>
          <w:sz w:val="20"/>
          <w:szCs w:val="20"/>
        </w:rPr>
        <w:t xml:space="preserve"> which </w:t>
      </w:r>
      <w:r>
        <w:rPr>
          <w:rFonts w:ascii="Times New Roman" w:cs="Times New Roman" w:hAnsi="Times New Roman"/>
          <w:sz w:val="20"/>
          <w:szCs w:val="20"/>
        </w:rPr>
        <w:t>suggest that the model is good fit (i.e. significant at 5% level of significance). Therefore, the model with estimates as given in Table 4.</w:t>
      </w:r>
      <w:r>
        <w:rPr>
          <w:rFonts w:ascii="Times New Roman" w:cs="Times New Roman" w:hAnsi="Times New Roman"/>
          <w:sz w:val="20"/>
          <w:szCs w:val="20"/>
        </w:rPr>
        <w:t>4</w:t>
      </w:r>
      <w:r>
        <w:rPr>
          <w:rFonts w:ascii="Times New Roman" w:cs="Times New Roman" w:hAnsi="Times New Roman"/>
          <w:sz w:val="20"/>
          <w:szCs w:val="20"/>
        </w:rPr>
        <w:t xml:space="preserve"> is the final Cox PH Regression model.</w:t>
      </w:r>
    </w:p>
    <w:bookmarkStart w:id="324" w:name="_Toc375662994"/>
    <w:bookmarkStart w:id="325" w:name="_Toc411677939"/>
    <w:bookmarkStart w:id="326" w:name="_Toc450288359"/>
    <w:bookmarkStart w:id="327" w:name="_Toc450291589"/>
    <w:bookmarkStart w:id="328" w:name="_Toc450292808"/>
    <w:bookmarkStart w:id="329" w:name="_Toc450294535"/>
    <w:bookmarkStart w:id="330" w:name="_Toc450294918"/>
    <w:bookmarkStart w:id="331" w:name="_Toc450525942"/>
    <w:bookmarkStart w:id="332" w:name="_Toc450724175"/>
    <w:bookmarkStart w:id="333" w:name="_Toc450724420"/>
    <w:bookmarkStart w:id="334" w:name="_Toc451480404"/>
    <w:bookmarkStart w:id="335" w:name="_Toc451493930"/>
    <w:bookmarkStart w:id="336" w:name="_Toc451494731"/>
    <w:bookmarkStart w:id="337" w:name="_Toc451496325"/>
    <w:bookmarkStart w:id="338" w:name="_Toc451496828"/>
    <w:bookmarkStart w:id="339" w:name="_Toc451522876"/>
    <w:bookmarkStart w:id="340" w:name="_Toc451742114"/>
    <w:bookmarkStart w:id="341" w:name="_Toc451742855"/>
    <w:bookmarkStart w:id="342" w:name="_Toc452191116"/>
    <w:bookmarkStart w:id="343" w:name="_Toc452191665"/>
    <w:bookmarkStart w:id="344" w:name="_Toc452195086"/>
    <w:p>
      <w:pPr>
        <w:pStyle w:val="style1"/>
        <w:spacing w:before="240" w:lineRule="auto" w:line="240"/>
        <w:ind w:firstLine="270" w:left="-270"/>
        <w:rPr>
          <w:rFonts w:ascii="Times New Roman" w:cs="Times New Roman" w:hAnsi="Times New Roman"/>
          <w:b w:val="false"/>
          <w:color w:val="auto"/>
          <w:sz w:val="20"/>
          <w:szCs w:val="20"/>
        </w:rPr>
      </w:pPr>
      <w:r>
        <w:rPr>
          <w:rFonts w:ascii="Times New Roman" w:cs="Times New Roman" w:hAnsi="Times New Roman"/>
          <w:color w:val="auto"/>
          <w:sz w:val="20"/>
          <w:szCs w:val="20"/>
        </w:rPr>
        <w:t>Table 4.</w:t>
      </w:r>
      <w:r>
        <w:rPr>
          <w:rFonts w:ascii="Times New Roman" w:cs="Times New Roman" w:hAnsi="Times New Roman"/>
          <w:color w:val="auto"/>
          <w:sz w:val="20"/>
          <w:szCs w:val="20"/>
        </w:rPr>
        <w:t>6</w:t>
      </w:r>
      <w:r>
        <w:rPr>
          <w:rFonts w:ascii="Times New Roman" w:cs="Times New Roman" w:hAnsi="Times New Roman"/>
          <w:b w:val="false"/>
          <w:color w:val="auto"/>
          <w:sz w:val="20"/>
          <w:szCs w:val="20"/>
        </w:rPr>
        <w:t>: The Likelihood Ratio, Score and Wald tests for overall measures of go</w:t>
      </w:r>
    </w:p>
    <w:p>
      <w:pPr>
        <w:pStyle w:val="style1"/>
        <w:spacing w:before="240" w:lineRule="auto" w:line="240"/>
        <w:ind w:firstLine="270" w:left="-270"/>
        <w:rPr>
          <w:rFonts w:ascii="Times New Roman" w:cs="Times New Roman" w:hAnsi="Times New Roman"/>
          <w:b w:val="false"/>
          <w:color w:val="auto"/>
          <w:sz w:val="20"/>
          <w:szCs w:val="20"/>
        </w:rPr>
      </w:pPr>
    </w:p>
    <w:p>
      <w:pPr>
        <w:pStyle w:val="style1"/>
        <w:spacing w:before="240" w:lineRule="auto" w:line="240"/>
        <w:ind w:firstLine="270" w:left="-270"/>
        <w:rPr>
          <w:rFonts w:ascii="Times New Roman" w:cs="Times New Roman" w:hAnsi="Times New Roman"/>
          <w:b w:val="false"/>
          <w:color w:val="auto"/>
          <w:sz w:val="20"/>
          <w:szCs w:val="20"/>
        </w:rPr>
      </w:pPr>
      <w:r>
        <w:rPr>
          <w:rFonts w:ascii="Times New Roman" w:cs="Times New Roman" w:hAnsi="Times New Roman"/>
          <w:b w:val="false"/>
          <w:color w:val="auto"/>
          <w:sz w:val="20"/>
          <w:szCs w:val="20"/>
        </w:rPr>
        <w:t>o</w:t>
      </w:r>
      <w:r>
        <w:rPr>
          <w:rFonts w:ascii="Times New Roman" w:cs="Times New Roman" w:hAnsi="Times New Roman"/>
          <w:b w:val="false"/>
          <w:color w:val="auto"/>
          <w:sz w:val="20"/>
          <w:szCs w:val="20"/>
        </w:rPr>
        <w:t xml:space="preserve">dness of fit of the </w:t>
      </w:r>
      <w:r>
        <w:rPr>
          <w:rFonts w:ascii="Times New Roman" w:cs="Times New Roman" w:hAnsi="Times New Roman"/>
          <w:b w:val="false"/>
          <w:color w:val="auto"/>
          <w:sz w:val="20"/>
          <w:szCs w:val="20"/>
        </w:rPr>
        <w:t xml:space="preserve">final </w:t>
      </w:r>
      <w:r>
        <w:rPr>
          <w:rFonts w:ascii="Times New Roman" w:cs="Times New Roman" w:hAnsi="Times New Roman"/>
          <w:b w:val="false"/>
          <w:color w:val="auto"/>
          <w:sz w:val="20"/>
          <w:szCs w:val="20"/>
        </w:rPr>
        <w:t xml:space="preserve">Cox PH </w:t>
      </w:r>
      <w:r>
        <w:rPr>
          <w:rFonts w:ascii="Times New Roman" w:cs="Times New Roman" w:hAnsi="Times New Roman"/>
          <w:b w:val="false"/>
          <w:color w:val="auto"/>
          <w:sz w:val="20"/>
          <w:szCs w:val="20"/>
        </w:rPr>
        <w:t xml:space="preserve">model in table </w:t>
      </w:r>
      <w:bookmarkEnd w:id="324"/>
      <w:bookmarkEnd w:id="325"/>
      <w:r>
        <w:rPr>
          <w:rFonts w:ascii="Times New Roman" w:cs="Times New Roman" w:hAnsi="Times New Roman"/>
          <w:b w:val="false"/>
          <w:color w:val="auto"/>
          <w:sz w:val="20"/>
          <w:szCs w:val="20"/>
        </w:rPr>
        <w:t>4.</w:t>
      </w:r>
      <w:bookmarkEnd w:id="326"/>
      <w:bookmarkEnd w:id="327"/>
      <w:bookmarkEnd w:id="328"/>
      <w:bookmarkEnd w:id="329"/>
      <w:bookmarkEnd w:id="330"/>
      <w:bookmarkEnd w:id="331"/>
      <w:bookmarkEnd w:id="332"/>
      <w:bookmarkEnd w:id="333"/>
      <w:r>
        <w:rPr>
          <w:rFonts w:ascii="Times New Roman" w:cs="Times New Roman" w:hAnsi="Times New Roman"/>
          <w:b w:val="false"/>
          <w:color w:val="auto"/>
          <w:sz w:val="20"/>
          <w:szCs w:val="20"/>
        </w:rPr>
        <w:t>4</w:t>
      </w:r>
      <w:bookmarkEnd w:id="334"/>
      <w:bookmarkEnd w:id="335"/>
      <w:bookmarkEnd w:id="336"/>
      <w:bookmarkEnd w:id="337"/>
      <w:bookmarkEnd w:id="338"/>
      <w:bookmarkEnd w:id="339"/>
      <w:bookmarkEnd w:id="340"/>
      <w:bookmarkEnd w:id="341"/>
      <w:bookmarkEnd w:id="342"/>
      <w:bookmarkEnd w:id="343"/>
      <w:bookmarkEnd w:id="344"/>
    </w:p>
    <w:tbl>
      <w:tblPr>
        <w:tblStyle w:val="style182"/>
        <w:tblW w:w="0" w:type="auto"/>
        <w:tblBorders>
          <w:top w:val="none" w:sz="0" w:space="0" w:color="auto"/>
          <w:left w:val="none" w:sz="0" w:space="0" w:color="auto"/>
          <w:bottom w:val="none" w:sz="0" w:space="0" w:color="auto"/>
          <w:right w:val="none" w:sz="0" w:space="0" w:color="auto"/>
        </w:tblBorders>
        <w:tblLook w:firstRow="0" w:lastRow="0" w:firstColumn="0" w:lastColumn="0" w:noHBand="0" w:noVBand="1"/>
      </w:tblPr>
      <w:tblGrid>
        <w:gridCol w:w="2232"/>
        <w:gridCol w:w="2312"/>
        <w:gridCol w:w="2294"/>
        <w:gridCol w:w="2522"/>
      </w:tblGrid>
      <w:tr>
        <w:trPr>
          <w:trHeight w:val="250" w:hRule="atLeast"/>
        </w:trPr>
        <w:tc>
          <w:tcPr>
            <w:tcW w:w="2232" w:type="dxa"/>
            <w:tcBorders>
              <w:top w:val="single" w:sz="12" w:space="0" w:color="auto"/>
              <w:left w:val="none" w:sz="0" w:space="0" w:color="auto"/>
              <w:bottom w:val="single" w:sz="12" w:space="0" w:color="auto"/>
              <w:right w:val="none" w:sz="0" w:space="0" w:color="auto"/>
            </w:tcBorders>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Test</w:t>
            </w:r>
          </w:p>
        </w:tc>
        <w:tc>
          <w:tcPr>
            <w:tcW w:w="2312" w:type="dxa"/>
            <w:tcBorders>
              <w:top w:val="single" w:sz="12" w:space="0" w:color="auto"/>
              <w:left w:val="none" w:sz="0" w:space="0" w:color="auto"/>
              <w:bottom w:val="single" w:sz="12" w:space="0" w:color="auto"/>
              <w:right w:val="none" w:sz="0" w:space="0" w:color="auto"/>
            </w:tcBorders>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Chi-Square</w:t>
            </w:r>
          </w:p>
        </w:tc>
        <w:tc>
          <w:tcPr>
            <w:tcW w:w="2294" w:type="dxa"/>
            <w:tcBorders>
              <w:top w:val="single" w:sz="12" w:space="0" w:color="auto"/>
              <w:left w:val="none" w:sz="0" w:space="0" w:color="auto"/>
              <w:bottom w:val="single" w:sz="12" w:space="0" w:color="auto"/>
              <w:right w:val="none" w:sz="0" w:space="0" w:color="auto"/>
            </w:tcBorders>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 xml:space="preserve">      DF</w:t>
            </w:r>
          </w:p>
        </w:tc>
        <w:tc>
          <w:tcPr>
            <w:tcW w:w="2522" w:type="dxa"/>
            <w:tcBorders>
              <w:top w:val="single" w:sz="12" w:space="0" w:color="auto"/>
              <w:left w:val="none" w:sz="0" w:space="0" w:color="auto"/>
              <w:bottom w:val="single" w:sz="12" w:space="0" w:color="auto"/>
              <w:right w:val="none" w:sz="0" w:space="0" w:color="auto"/>
            </w:tcBorders>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Pr&gt;Chisq</w:t>
            </w:r>
          </w:p>
        </w:tc>
      </w:tr>
      <w:tr>
        <w:tblPrEx/>
        <w:trPr/>
        <w:tc>
          <w:tcPr>
            <w:tcW w:w="2232" w:type="dxa"/>
            <w:tcBorders>
              <w:top w:val="single" w:sz="12" w:space="0" w:color="auto"/>
              <w:left w:val="none" w:sz="0" w:space="0" w:color="auto"/>
              <w:bottom w:val="none" w:sz="0" w:space="0" w:color="auto"/>
              <w:right w:val="none" w:sz="0" w:space="0" w:color="auto"/>
            </w:tcBorders>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Likelihood Ratio</w:t>
            </w:r>
          </w:p>
        </w:tc>
        <w:tc>
          <w:tcPr>
            <w:tcW w:w="2312" w:type="dxa"/>
            <w:tcBorders>
              <w:top w:val="single" w:sz="12" w:space="0" w:color="auto"/>
              <w:left w:val="none" w:sz="0" w:space="0" w:color="auto"/>
              <w:bottom w:val="none" w:sz="0" w:space="0" w:color="auto"/>
              <w:right w:val="none" w:sz="0" w:space="0" w:color="auto"/>
            </w:tcBorders>
            <w:shd w:val="clear" w:color="auto" w:fill="ffffff"/>
            <w:tcFitText w:val="false"/>
          </w:tcPr>
          <w:p>
            <w:pPr>
              <w:pStyle w:val="style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72.34       </w:t>
            </w:r>
          </w:p>
        </w:tc>
        <w:tc>
          <w:tcPr>
            <w:tcW w:w="2294" w:type="dxa"/>
            <w:tcBorders>
              <w:top w:val="single" w:sz="12" w:space="0" w:color="auto"/>
              <w:left w:val="none" w:sz="0" w:space="0" w:color="auto"/>
              <w:bottom w:val="none" w:sz="0" w:space="0" w:color="auto"/>
              <w:right w:val="none" w:sz="0" w:space="0" w:color="auto"/>
            </w:tcBorders>
            <w:shd w:val="clear" w:color="auto" w:fill="ffffff"/>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10</w:t>
            </w:r>
          </w:p>
        </w:tc>
        <w:tc>
          <w:tcPr>
            <w:tcW w:w="2522" w:type="dxa"/>
            <w:tcBorders>
              <w:top w:val="single" w:sz="12" w:space="0" w:color="auto"/>
              <w:left w:val="none" w:sz="0" w:space="0" w:color="auto"/>
              <w:bottom w:val="none" w:sz="0" w:space="0" w:color="auto"/>
            </w:tcBorders>
            <w:shd w:val="clear" w:color="auto" w:fill="ffffff"/>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&lt;.0001</w:t>
            </w:r>
            <w:r>
              <w:rPr>
                <w:rFonts w:ascii="Times New Roman" w:cs="Times New Roman" w:hAnsi="Times New Roman"/>
                <w:sz w:val="20"/>
                <w:szCs w:val="20"/>
              </w:rPr>
              <w:t>*</w:t>
            </w:r>
          </w:p>
        </w:tc>
      </w:tr>
      <w:tr>
        <w:tblPrEx/>
        <w:trPr/>
        <w:tc>
          <w:tcPr>
            <w:tcW w:w="2232" w:type="dxa"/>
            <w:tcBorders>
              <w:left w:val="none" w:sz="0" w:space="0" w:color="auto"/>
              <w:bottom w:val="none" w:sz="0" w:space="0" w:color="auto"/>
              <w:right w:val="none" w:sz="0" w:space="0" w:color="auto"/>
            </w:tcBorders>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Score</w:t>
            </w:r>
          </w:p>
        </w:tc>
        <w:tc>
          <w:tcPr>
            <w:tcW w:w="2312" w:type="dxa"/>
            <w:tcBorders/>
            <w:shd w:val="clear" w:color="auto" w:fill="ffffff"/>
            <w:tcFitText w:val="false"/>
          </w:tcPr>
          <w:p>
            <w:pPr>
              <w:pStyle w:val="style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76.23        </w:t>
            </w:r>
          </w:p>
        </w:tc>
        <w:tc>
          <w:tcPr>
            <w:tcW w:w="2294" w:type="dxa"/>
            <w:tcBorders/>
            <w:shd w:val="clear" w:color="auto" w:fill="ffffff"/>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10</w:t>
            </w:r>
          </w:p>
        </w:tc>
        <w:tc>
          <w:tcPr>
            <w:tcW w:w="2522" w:type="dxa"/>
            <w:tcBorders/>
            <w:shd w:val="clear" w:color="auto" w:fill="ffffff"/>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&lt;.0001</w:t>
            </w:r>
            <w:r>
              <w:rPr>
                <w:rFonts w:ascii="Times New Roman" w:cs="Times New Roman" w:hAnsi="Times New Roman"/>
                <w:sz w:val="20"/>
                <w:szCs w:val="20"/>
              </w:rPr>
              <w:t>*</w:t>
            </w:r>
          </w:p>
        </w:tc>
      </w:tr>
      <w:tr>
        <w:tblPrEx/>
        <w:trPr>
          <w:trHeight w:val="225" w:hRule="atLeast"/>
        </w:trPr>
        <w:tc>
          <w:tcPr>
            <w:tcW w:w="2232" w:type="dxa"/>
            <w:tcBorders>
              <w:top w:val="none" w:sz="0" w:space="0" w:color="auto"/>
              <w:left w:val="none" w:sz="0" w:space="0" w:color="auto"/>
              <w:bottom w:val="single" w:sz="12" w:space="0" w:color="auto"/>
              <w:right w:val="none" w:sz="0" w:space="0" w:color="auto"/>
            </w:tcBorders>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Wald</w:t>
            </w:r>
          </w:p>
        </w:tc>
        <w:tc>
          <w:tcPr>
            <w:tcW w:w="2312" w:type="dxa"/>
            <w:tcBorders>
              <w:top w:val="none" w:sz="0" w:space="0" w:color="auto"/>
              <w:left w:val="none" w:sz="0" w:space="0" w:color="auto"/>
              <w:bottom w:val="single" w:sz="12" w:space="0" w:color="auto"/>
              <w:right w:val="none" w:sz="0" w:space="0" w:color="auto"/>
            </w:tcBorders>
            <w:shd w:val="clear" w:color="auto" w:fill="ffffff"/>
            <w:tcFitText w:val="false"/>
          </w:tcPr>
          <w:p>
            <w:pPr>
              <w:pStyle w:val="style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72.94       </w:t>
            </w:r>
          </w:p>
        </w:tc>
        <w:tc>
          <w:tcPr>
            <w:tcW w:w="2294" w:type="dxa"/>
            <w:tcBorders>
              <w:top w:val="none" w:sz="0" w:space="0" w:color="auto"/>
              <w:left w:val="none" w:sz="0" w:space="0" w:color="auto"/>
              <w:bottom w:val="single" w:sz="12" w:space="0" w:color="auto"/>
              <w:right w:val="none" w:sz="0" w:space="0" w:color="auto"/>
            </w:tcBorders>
            <w:shd w:val="clear" w:color="auto" w:fill="ffffff"/>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10</w:t>
            </w:r>
          </w:p>
        </w:tc>
        <w:tc>
          <w:tcPr>
            <w:tcW w:w="2522" w:type="dxa"/>
            <w:tcBorders>
              <w:top w:val="none" w:sz="0" w:space="0" w:color="auto"/>
              <w:left w:val="none" w:sz="0" w:space="0" w:color="auto"/>
              <w:bottom w:val="single" w:sz="12" w:space="0" w:color="auto"/>
            </w:tcBorders>
            <w:shd w:val="clear" w:color="auto" w:fill="ffffff"/>
            <w:tcFitText w:val="false"/>
          </w:tcPr>
          <w:p>
            <w:pPr>
              <w:pStyle w:val="style0"/>
              <w:autoSpaceDE w:val="false"/>
              <w:autoSpaceDN w:val="false"/>
              <w:adjustRightInd w:val="false"/>
              <w:ind w:firstLine="270" w:left="-270"/>
              <w:jc w:val="both"/>
              <w:rPr>
                <w:rFonts w:ascii="Times New Roman" w:cs="Times New Roman" w:hAnsi="Times New Roman"/>
                <w:sz w:val="20"/>
                <w:szCs w:val="20"/>
              </w:rPr>
            </w:pPr>
            <w:r>
              <w:rPr>
                <w:rFonts w:ascii="Times New Roman" w:cs="Times New Roman" w:hAnsi="Times New Roman"/>
                <w:sz w:val="20"/>
                <w:szCs w:val="20"/>
              </w:rPr>
              <w:t>&lt;.0001</w:t>
            </w:r>
            <w:r>
              <w:rPr>
                <w:rFonts w:ascii="Times New Roman" w:cs="Times New Roman" w:hAnsi="Times New Roman"/>
                <w:sz w:val="20"/>
                <w:szCs w:val="20"/>
              </w:rPr>
              <w:t>*</w:t>
            </w:r>
          </w:p>
        </w:tc>
      </w:tr>
      <w:bookmarkStart w:id="345" w:name="_Toc451480405"/>
      <w:bookmarkStart w:id="346" w:name="_Toc451493931"/>
      <w:bookmarkStart w:id="347" w:name="_Toc451494732"/>
      <w:bookmarkStart w:id="348" w:name="_Toc451496326"/>
      <w:bookmarkStart w:id="349" w:name="_Toc451496829"/>
      <w:bookmarkStart w:id="350" w:name="_Toc451522877"/>
      <w:bookmarkStart w:id="351" w:name="_Toc451742115"/>
      <w:bookmarkStart w:id="352" w:name="_Toc451742856"/>
      <w:bookmarkStart w:id="353" w:name="_Toc452191117"/>
      <w:bookmarkStart w:id="354" w:name="_Toc452191666"/>
      <w:bookmarkStart w:id="355" w:name="_Toc452195087"/>
      <w:bookmarkStart w:id="356" w:name="_Toc450285342"/>
      <w:bookmarkStart w:id="357" w:name="_Toc450288360"/>
      <w:bookmarkStart w:id="358" w:name="_Toc450292809"/>
      <w:bookmarkStart w:id="359" w:name="_Toc450294536"/>
      <w:bookmarkStart w:id="360" w:name="_Toc450294919"/>
      <w:bookmarkStart w:id="361" w:name="_Toc450724176"/>
      <w:bookmarkStart w:id="362" w:name="_Toc450724421"/>
    </w:tbl>
    <w:p>
      <w:pPr>
        <w:pStyle w:val="style3"/>
        <w:spacing w:before="0" w:lineRule="auto" w:line="240"/>
        <w:ind w:firstLine="270" w:left="-270"/>
        <w:rPr>
          <w:rFonts w:cs="Times New Roman"/>
          <w:b w:val="false"/>
          <w:i/>
          <w:iCs/>
          <w:sz w:val="20"/>
          <w:szCs w:val="20"/>
          <w:lang w:val="en-US"/>
        </w:rPr>
      </w:pPr>
      <w:r>
        <w:rPr>
          <w:b w:val="false"/>
          <w:i/>
          <w:iCs/>
          <w:sz w:val="20"/>
          <w:szCs w:val="20"/>
        </w:rPr>
        <w:t xml:space="preserve">Source: </w:t>
      </w:r>
      <w:r>
        <w:rPr>
          <w:rFonts w:cs="Times New Roman"/>
          <w:b w:val="false"/>
          <w:i/>
          <w:sz w:val="20"/>
          <w:szCs w:val="20"/>
        </w:rPr>
        <w:t xml:space="preserve">Hossana </w:t>
      </w:r>
      <w:r>
        <w:rPr>
          <w:rFonts w:cs="Times New Roman"/>
          <w:b w:val="false"/>
          <w:bCs w:val="false"/>
          <w:i/>
          <w:sz w:val="20"/>
          <w:szCs w:val="20"/>
        </w:rPr>
        <w:t>Queen Elleni Mohamad Memorial Hospital, SNNPR, Ethiopia;</w:t>
      </w:r>
      <w:r>
        <w:rPr>
          <w:rFonts w:cs="Times New Roman"/>
          <w:b w:val="false"/>
          <w:i/>
          <w:sz w:val="20"/>
          <w:szCs w:val="20"/>
        </w:rPr>
        <w:t xml:space="preserve"> from 1</w:t>
      </w:r>
      <w:r>
        <w:rPr>
          <w:rFonts w:cs="Times New Roman"/>
          <w:b w:val="false"/>
          <w:i/>
          <w:sz w:val="20"/>
          <w:szCs w:val="20"/>
          <w:vertAlign w:val="superscript"/>
        </w:rPr>
        <w:t>st</w:t>
      </w:r>
      <w:r>
        <w:rPr>
          <w:rFonts w:cs="Times New Roman"/>
          <w:b w:val="false"/>
          <w:i/>
          <w:sz w:val="20"/>
          <w:szCs w:val="20"/>
        </w:rPr>
        <w:t xml:space="preserve"> February 2011 to 1</w:t>
      </w:r>
      <w:r>
        <w:rPr>
          <w:rFonts w:cs="Times New Roman"/>
          <w:b w:val="false"/>
          <w:i/>
          <w:sz w:val="20"/>
          <w:szCs w:val="20"/>
          <w:vertAlign w:val="superscript"/>
        </w:rPr>
        <w:t>st</w:t>
      </w:r>
      <w:r>
        <w:rPr>
          <w:rFonts w:cs="Times New Roman"/>
          <w:b w:val="false"/>
          <w:i/>
          <w:sz w:val="20"/>
          <w:szCs w:val="20"/>
        </w:rPr>
        <w:t>January 2016</w:t>
      </w:r>
      <w:bookmarkEnd w:id="345"/>
      <w:bookmarkEnd w:id="346"/>
      <w:bookmarkEnd w:id="347"/>
      <w:bookmarkEnd w:id="348"/>
      <w:bookmarkEnd w:id="349"/>
      <w:bookmarkEnd w:id="350"/>
      <w:bookmarkEnd w:id="351"/>
      <w:bookmarkEnd w:id="352"/>
      <w:bookmarkEnd w:id="353"/>
      <w:bookmarkEnd w:id="354"/>
      <w:bookmarkEnd w:id="355"/>
    </w:p>
    <w:p>
      <w:pPr>
        <w:pStyle w:val="style3"/>
        <w:spacing w:before="0" w:lineRule="auto" w:line="240"/>
        <w:ind w:firstLine="270" w:left="-270"/>
        <w:rPr>
          <w:rFonts w:cs="Times New Roman"/>
          <w:b w:val="false"/>
          <w:color w:val="auto"/>
          <w:sz w:val="20"/>
          <w:szCs w:val="20"/>
        </w:rPr>
      </w:pPr>
      <w:r>
        <w:rPr>
          <w:rFonts w:cs="Times New Roman"/>
          <w:b w:val="false"/>
          <w:i/>
          <w:iCs/>
          <w:sz w:val="20"/>
          <w:szCs w:val="20"/>
          <w:lang w:val="en-US"/>
        </w:rPr>
        <w:t xml:space="preserve">* </w:t>
      </w:r>
      <w:r>
        <w:rPr>
          <w:rFonts w:cs="Times New Roman"/>
          <w:b w:val="false"/>
          <w:i/>
          <w:iCs/>
          <w:sz w:val="20"/>
          <w:szCs w:val="20"/>
          <w:lang w:val="en-US"/>
        </w:rPr>
        <w:t xml:space="preserve">indicates statistical significance at 0.05 level of significance.  </w:t>
      </w:r>
    </w:p>
    <w:bookmarkEnd w:id="356"/>
    <w:bookmarkEnd w:id="357"/>
    <w:bookmarkEnd w:id="358"/>
    <w:bookmarkEnd w:id="359"/>
    <w:bookmarkEnd w:id="360"/>
    <w:bookmarkEnd w:id="361"/>
    <w:bookmarkEnd w:id="362"/>
    <w:p>
      <w:pPr>
        <w:pStyle w:val="style0"/>
        <w:autoSpaceDE w:val="false"/>
        <w:autoSpaceDN w:val="false"/>
        <w:adjustRightInd w:val="false"/>
        <w:spacing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coefficient of the categorical covariates is interpreted as the logarithm of the hazard ratio of death to the baseline (reference group) hazard. That is, they are interpreted by comparing the reference group with others. Similarly, the coefficient for a continuous explanatory variable indicates the estimated change in the logarithm of the hazard ratio for a unit increase in the value of the respective covariate when the remaining covariates in the model are under control. Accordingly, the interpretation of the covariates included in the</w:t>
      </w:r>
      <w:r>
        <w:rPr>
          <w:rFonts w:ascii="Times New Roman" w:cs="Times New Roman" w:hAnsi="Times New Roman"/>
          <w:sz w:val="20"/>
          <w:szCs w:val="20"/>
        </w:rPr>
        <w:t xml:space="preserve"> final</w:t>
      </w:r>
      <w:r>
        <w:rPr>
          <w:rFonts w:ascii="Times New Roman" w:cs="Times New Roman" w:hAnsi="Times New Roman"/>
          <w:sz w:val="20"/>
          <w:szCs w:val="20"/>
        </w:rPr>
        <w:t xml:space="preserve"> Cox proportional hazard model of HIV infected patients in the case of HQEMMHis as follows.</w:t>
      </w:r>
    </w:p>
    <w:p>
      <w:pPr>
        <w:pStyle w:val="style0"/>
        <w:autoSpaceDE w:val="false"/>
        <w:autoSpaceDN w:val="false"/>
        <w:adjustRightInd w:val="false"/>
        <w:spacing w:before="24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 xml:space="preserve">The estimated hazard ratio of death for patients whose baseline weight is </w:t>
      </w:r>
      <w:r>
        <w:rPr>
          <w:rFonts w:ascii="Times New Roman" w:cs="Times New Roman" w:hAnsi="Times New Roman"/>
          <w:sz w:val="20"/>
          <w:szCs w:val="20"/>
        </w:rPr>
        <w:t xml:space="preserve">50 kgms is </w:t>
      </w:r>
      <w:r>
        <w:rPr>
          <w:rFonts w:ascii="Times New Roman" w:cs="Times New Roman" w:hAnsi="Times New Roman"/>
          <w:sz w:val="20"/>
          <w:szCs w:val="20"/>
        </w:rPr>
        <w:t xml:space="preserve">= </w:t>
      </w:r>
      <w:r>
        <w:rPr>
          <w:rFonts w:ascii="Times New Roman" w:cs="Times New Roman" w:hAnsi="Times New Roman"/>
          <w:color w:val="000000"/>
          <w:sz w:val="20"/>
          <w:szCs w:val="20"/>
        </w:rPr>
        <w:t>0.6455</w:t>
      </w:r>
      <w:r>
        <w:rPr>
          <w:rFonts w:ascii="Times New Roman" w:cs="Times New Roman" w:hAnsi="Times New Roman"/>
          <w:sz w:val="20"/>
          <w:szCs w:val="20"/>
        </w:rPr>
        <w:t xml:space="preserve"> [95% CI: </w:t>
      </w:r>
      <w:r>
        <w:rPr>
          <w:rFonts w:ascii="Times New Roman" w:cs="Times New Roman" w:hAnsi="Times New Roman"/>
          <w:color w:val="000000"/>
          <w:sz w:val="20"/>
          <w:szCs w:val="20"/>
        </w:rPr>
        <w:t>0.4595</w:t>
      </w:r>
      <w:r>
        <w:rPr>
          <w:rFonts w:ascii="Times New Roman" w:cs="Times New Roman" w:hAnsi="Times New Roman"/>
          <w:sz w:val="20"/>
          <w:szCs w:val="20"/>
        </w:rPr>
        <w:t>-</w:t>
      </w:r>
      <w:r>
        <w:rPr>
          <w:rFonts w:ascii="Times New Roman" w:cs="Times New Roman" w:hAnsi="Times New Roman"/>
          <w:color w:val="000000"/>
          <w:sz w:val="20"/>
          <w:szCs w:val="20"/>
        </w:rPr>
        <w:t>0.9068</w:t>
      </w:r>
      <w:r>
        <w:rPr>
          <w:rFonts w:ascii="Times New Roman" w:cs="Times New Roman" w:hAnsi="Times New Roman"/>
          <w:sz w:val="20"/>
          <w:szCs w:val="20"/>
        </w:rPr>
        <w:t xml:space="preserve">, p=0.012]. This means that the hazard rate of death of patients whose baseline weight </w:t>
      </w:r>
      <w:r>
        <w:rPr>
          <w:rFonts w:ascii="Times New Roman" w:cs="Times New Roman" w:hAnsi="Times New Roman"/>
          <w:sz w:val="20"/>
          <w:szCs w:val="20"/>
        </w:rPr>
        <w:t xml:space="preserve">50 kgms reduced by 35.45%compared to patients whose baseline weight&lt;50 kg controlling for other variables in the model. Similarly, the covariate baseline CD4 count is statistically significant influence on the survival time of the patients. The estimated hazard </w:t>
      </w:r>
      <w:r>
        <w:rPr>
          <w:rFonts w:ascii="Times New Roman" w:cs="Times New Roman" w:hAnsi="Times New Roman"/>
          <w:sz w:val="20"/>
          <w:szCs w:val="20"/>
        </w:rPr>
        <w:t xml:space="preserve">rate of death of patients whose CD4 count </w:t>
      </w:r>
      <w:r>
        <w:rPr>
          <w:rFonts w:ascii="Times New Roman" w:cs="Times New Roman" w:hAnsi="Times New Roman"/>
          <w:sz w:val="20"/>
          <w:szCs w:val="20"/>
        </w:rPr>
        <w:t>200cells/</w:t>
      </w:r>
      <w:r>
        <w:rPr>
          <w:rFonts w:ascii="Cambria Math" w:cs="Times New Roman" w:eastAsia="TimesNewRoman" w:hAnsi="Cambria Math"/>
          <w:sz w:val="20"/>
          <w:szCs w:val="20"/>
        </w:rPr>
        <w:t>  </w:t>
      </w:r>
      <w:r>
        <w:rPr>
          <w:rFonts w:ascii="Times New Roman" w:cs="Times New Roman" w:hAnsi="Times New Roman"/>
          <w:sz w:val="20"/>
          <w:szCs w:val="20"/>
        </w:rPr>
        <w:t>l</w:t>
      </w:r>
      <w:r>
        <w:rPr>
          <w:rFonts w:ascii="Times New Roman" w:cs="Times New Roman" w:hAnsi="Times New Roman"/>
          <w:sz w:val="20"/>
          <w:szCs w:val="20"/>
        </w:rPr>
        <w:t xml:space="preserve">is </w:t>
      </w:r>
      <w:r>
        <w:rPr>
          <w:rFonts w:ascii="Times New Roman" w:cs="Times New Roman" w:hAnsi="Times New Roman"/>
          <w:color w:val="000000"/>
          <w:sz w:val="20"/>
          <w:szCs w:val="20"/>
        </w:rPr>
        <w:t>0.687</w:t>
      </w:r>
      <w:r>
        <w:rPr>
          <w:rFonts w:ascii="Times New Roman" w:cs="Times New Roman" w:hAnsi="Times New Roman"/>
          <w:sz w:val="20"/>
          <w:szCs w:val="20"/>
        </w:rPr>
        <w:t xml:space="preserve"> [95% CI: </w:t>
      </w:r>
      <w:r>
        <w:rPr>
          <w:rFonts w:ascii="Times New Roman" w:cs="Times New Roman" w:hAnsi="Times New Roman"/>
          <w:color w:val="000000"/>
          <w:sz w:val="20"/>
          <w:szCs w:val="20"/>
        </w:rPr>
        <w:t>0.4957</w:t>
      </w:r>
      <w:r>
        <w:rPr>
          <w:rFonts w:ascii="Times New Roman" w:cs="Times New Roman" w:hAnsi="Times New Roman"/>
          <w:sz w:val="20"/>
          <w:szCs w:val="20"/>
        </w:rPr>
        <w:t>-</w:t>
      </w:r>
      <w:r>
        <w:rPr>
          <w:rFonts w:ascii="Times New Roman" w:cs="Times New Roman" w:hAnsi="Times New Roman"/>
          <w:color w:val="000000"/>
          <w:sz w:val="20"/>
          <w:szCs w:val="20"/>
        </w:rPr>
        <w:t>0.9071</w:t>
      </w:r>
      <w:r>
        <w:rPr>
          <w:rFonts w:ascii="Times New Roman" w:cs="Times New Roman" w:hAnsi="Times New Roman"/>
          <w:sz w:val="20"/>
          <w:szCs w:val="20"/>
        </w:rPr>
        <w:t>, p=0.02].</w:t>
      </w:r>
      <w:r>
        <w:rPr>
          <w:rFonts w:ascii="Times New Roman" w:cs="Times New Roman" w:hAnsi="Times New Roman"/>
          <w:sz w:val="20"/>
          <w:szCs w:val="20"/>
        </w:rPr>
        <w:t xml:space="preserve">This indicates that </w:t>
      </w:r>
      <w:r>
        <w:rPr>
          <w:rFonts w:ascii="Times New Roman" w:cs="Times New Roman" w:hAnsi="Times New Roman"/>
          <w:sz w:val="20"/>
          <w:szCs w:val="20"/>
        </w:rPr>
        <w:t xml:space="preserve">the estimated hazard rate of death of patients whose CD4 count </w:t>
      </w:r>
      <w:r>
        <w:rPr>
          <w:rFonts w:ascii="Times New Roman" w:cs="Times New Roman" w:hAnsi="Times New Roman"/>
          <w:sz w:val="20"/>
          <w:szCs w:val="20"/>
        </w:rPr>
        <w:t>200cells/</w:t>
      </w:r>
      <w:r>
        <w:rPr>
          <w:rFonts w:ascii="Cambria Math" w:cs="Times New Roman" w:eastAsia="TimesNewRoman" w:hAnsi="Cambria Math"/>
          <w:sz w:val="20"/>
          <w:szCs w:val="20"/>
        </w:rPr>
        <w:t>  </w:t>
      </w:r>
      <w:r>
        <w:rPr>
          <w:rFonts w:ascii="Times New Roman" w:cs="Times New Roman" w:hAnsi="Times New Roman"/>
          <w:sz w:val="20"/>
          <w:szCs w:val="20"/>
        </w:rPr>
        <w:t>lreduced by 31.3% compared to patients whose CD4 count &lt; 200cells/</w:t>
      </w:r>
      <w:r>
        <w:rPr>
          <w:rFonts w:ascii="Cambria Math" w:cs="Times New Roman" w:eastAsia="TimesNewRoman" w:hAnsi="Cambria Math"/>
          <w:sz w:val="20"/>
          <w:szCs w:val="20"/>
        </w:rPr>
        <w:t>  </w:t>
      </w:r>
      <w:r>
        <w:rPr>
          <w:rFonts w:ascii="Times New Roman" w:cs="Times New Roman" w:hAnsi="Times New Roman"/>
          <w:sz w:val="20"/>
          <w:szCs w:val="20"/>
        </w:rPr>
        <w:t>l controlling for other variables in the model.</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w:t>
      </w:r>
      <w:r>
        <w:rPr>
          <w:rFonts w:ascii="Times New Roman" w:cs="Times New Roman" w:hAnsi="Times New Roman"/>
          <w:sz w:val="20"/>
          <w:szCs w:val="20"/>
        </w:rPr>
        <w:t xml:space="preserve">he estimated hazard ratio of death for patients who were  </w:t>
      </w:r>
      <w:r>
        <w:rPr>
          <w:rFonts w:ascii="Times New Roman" w:cs="Times New Roman" w:hAnsi="Times New Roman"/>
          <w:sz w:val="20"/>
          <w:szCs w:val="20"/>
        </w:rPr>
        <w:t>ab</w:t>
      </w:r>
      <w:r>
        <w:rPr>
          <w:rFonts w:ascii="Times New Roman" w:cs="Times New Roman" w:hAnsi="Times New Roman"/>
          <w:sz w:val="20"/>
          <w:szCs w:val="20"/>
        </w:rPr>
        <w:t>use</w:t>
      </w:r>
      <w:r>
        <w:rPr>
          <w:rFonts w:ascii="Times New Roman" w:cs="Times New Roman" w:hAnsi="Times New Roman"/>
          <w:color w:val="000000"/>
          <w:sz w:val="20"/>
          <w:szCs w:val="20"/>
        </w:rPr>
        <w:t>substance (tobacco, alcohol, soft drugs)</w:t>
      </w:r>
      <w:r>
        <w:rPr>
          <w:rFonts w:ascii="Times New Roman" w:cs="Times New Roman" w:hAnsi="Times New Roman"/>
          <w:sz w:val="20"/>
          <w:szCs w:val="20"/>
        </w:rPr>
        <w:t xml:space="preserve"> was</w:t>
      </w:r>
      <w:r>
        <w:rPr>
          <w:rFonts w:ascii="Times New Roman" w:cs="Times New Roman" w:hAnsi="Times New Roman"/>
          <w:color w:val="000000"/>
          <w:sz w:val="20"/>
          <w:szCs w:val="20"/>
        </w:rPr>
        <w:t>1.828</w:t>
      </w:r>
      <w:r>
        <w:rPr>
          <w:rFonts w:ascii="Times New Roman" w:cs="Times New Roman" w:hAnsi="Times New Roman"/>
          <w:color w:val="000000"/>
          <w:sz w:val="20"/>
          <w:szCs w:val="20"/>
        </w:rPr>
        <w:t>times higher than those who didn’t uses substance</w:t>
      </w:r>
      <w:r>
        <w:rPr>
          <w:rFonts w:ascii="Times New Roman" w:cs="Times New Roman" w:hAnsi="Times New Roman"/>
          <w:sz w:val="20"/>
          <w:szCs w:val="20"/>
        </w:rPr>
        <w:t xml:space="preserve">[95% CI: </w:t>
      </w:r>
      <w:r>
        <w:rPr>
          <w:rFonts w:ascii="Times New Roman" w:cs="Times New Roman" w:hAnsi="Times New Roman"/>
          <w:color w:val="000000"/>
          <w:sz w:val="20"/>
          <w:szCs w:val="20"/>
        </w:rPr>
        <w:t>1.</w:t>
      </w:r>
      <w:r>
        <w:rPr>
          <w:rFonts w:ascii="Times New Roman" w:cs="Times New Roman" w:hAnsi="Times New Roman"/>
          <w:color w:val="000000"/>
          <w:sz w:val="20"/>
          <w:szCs w:val="20"/>
        </w:rPr>
        <w:t>275</w:t>
      </w:r>
      <w:r>
        <w:rPr>
          <w:rFonts w:ascii="Times New Roman" w:cs="Times New Roman" w:hAnsi="Times New Roman"/>
          <w:sz w:val="20"/>
          <w:szCs w:val="20"/>
        </w:rPr>
        <w:t>-</w:t>
      </w:r>
      <w:r>
        <w:rPr>
          <w:rFonts w:ascii="Times New Roman" w:cs="Times New Roman" w:hAnsi="Times New Roman"/>
          <w:color w:val="000000"/>
          <w:sz w:val="20"/>
          <w:szCs w:val="20"/>
        </w:rPr>
        <w:t>2.621</w:t>
      </w:r>
      <w:r>
        <w:rPr>
          <w:rFonts w:ascii="Times New Roman" w:cs="Times New Roman" w:hAnsi="Times New Roman"/>
          <w:color w:val="000000"/>
          <w:sz w:val="20"/>
          <w:szCs w:val="20"/>
        </w:rPr>
        <w:t>, p=</w:t>
      </w:r>
      <w:r>
        <w:rPr>
          <w:rFonts w:ascii="Times New Roman" w:cs="Times New Roman" w:hAnsi="Times New Roman"/>
          <w:color w:val="000000"/>
          <w:sz w:val="20"/>
          <w:szCs w:val="20"/>
        </w:rPr>
        <w:t>0.0</w:t>
      </w:r>
      <w:r>
        <w:rPr>
          <w:rFonts w:ascii="Times New Roman" w:cs="Times New Roman" w:hAnsi="Times New Roman"/>
          <w:color w:val="000000"/>
          <w:sz w:val="20"/>
          <w:szCs w:val="20"/>
        </w:rPr>
        <w:t>0</w:t>
      </w:r>
      <w:r>
        <w:rPr>
          <w:rFonts w:ascii="Times New Roman" w:cs="Times New Roman" w:hAnsi="Times New Roman"/>
          <w:color w:val="000000"/>
          <w:sz w:val="20"/>
          <w:szCs w:val="20"/>
        </w:rPr>
        <w:t>1]</w:t>
      </w:r>
      <w:r>
        <w:rPr>
          <w:rFonts w:ascii="Times New Roman" w:cs="Times New Roman" w:hAnsi="Times New Roman"/>
          <w:sz w:val="20"/>
          <w:szCs w:val="20"/>
        </w:rPr>
        <w:t xml:space="preserve">. </w:t>
      </w:r>
      <w:r>
        <w:rPr>
          <w:rFonts w:ascii="Times New Roman" w:cs="Times New Roman" w:eastAsia="TimesNewRomanPSMT" w:hAnsi="Times New Roman"/>
          <w:sz w:val="20"/>
          <w:szCs w:val="20"/>
        </w:rPr>
        <w:t>This indicates patients who were</w:t>
      </w:r>
      <w:r>
        <w:rPr>
          <w:rFonts w:ascii="Times New Roman" w:cs="Times New Roman" w:eastAsia="TimesNewRomanPSMT" w:hAnsi="Times New Roman"/>
          <w:sz w:val="20"/>
          <w:szCs w:val="20"/>
        </w:rPr>
        <w:t xml:space="preserve"> ab</w:t>
      </w:r>
      <w:r>
        <w:rPr>
          <w:rFonts w:ascii="Times New Roman" w:cs="Times New Roman" w:eastAsia="TimesNewRomanPSMT" w:hAnsi="Times New Roman"/>
          <w:sz w:val="20"/>
          <w:szCs w:val="20"/>
        </w:rPr>
        <w:t>use substance was</w:t>
      </w:r>
      <w:r>
        <w:rPr>
          <w:rFonts w:ascii="Times New Roman" w:cs="Times New Roman" w:eastAsia="TimesNewRomanPSMT" w:hAnsi="Times New Roman"/>
          <w:sz w:val="20"/>
          <w:szCs w:val="20"/>
        </w:rPr>
        <w:t>8</w:t>
      </w:r>
      <w:r>
        <w:rPr>
          <w:rFonts w:ascii="Times New Roman" w:cs="Times New Roman" w:eastAsia="TimesNewRomanPSMT" w:hAnsi="Times New Roman"/>
          <w:sz w:val="20"/>
          <w:szCs w:val="20"/>
        </w:rPr>
        <w:t>2</w:t>
      </w:r>
      <w:r>
        <w:rPr>
          <w:rFonts w:ascii="Times New Roman" w:cs="Times New Roman" w:eastAsia="TimesNewRomanPSMT" w:hAnsi="Times New Roman"/>
          <w:sz w:val="20"/>
          <w:szCs w:val="20"/>
        </w:rPr>
        <w:t>.8</w:t>
      </w:r>
      <w:r>
        <w:rPr>
          <w:rFonts w:ascii="Times New Roman" w:cs="Times New Roman" w:eastAsia="TimesNewRomanPSMT" w:hAnsi="Times New Roman"/>
          <w:sz w:val="20"/>
          <w:szCs w:val="20"/>
        </w:rPr>
        <w:t xml:space="preserve">% higher risk of death </w:t>
      </w:r>
      <w:r>
        <w:rPr>
          <w:rFonts w:ascii="Times New Roman" w:cs="Times New Roman" w:hAnsi="Times New Roman"/>
          <w:sz w:val="20"/>
          <w:szCs w:val="20"/>
        </w:rPr>
        <w:t xml:space="preserve">than patients who did not use </w:t>
      </w:r>
      <w:r>
        <w:rPr>
          <w:rFonts w:ascii="Times New Roman" w:cs="Times New Roman" w:hAnsi="Times New Roman"/>
          <w:color w:val="000000"/>
          <w:sz w:val="20"/>
          <w:szCs w:val="20"/>
        </w:rPr>
        <w:t xml:space="preserve">substance </w:t>
      </w:r>
      <w:r>
        <w:rPr>
          <w:rFonts w:ascii="Times New Roman" w:cs="Times New Roman" w:hAnsi="Times New Roman"/>
          <w:sz w:val="20"/>
          <w:szCs w:val="20"/>
        </w:rPr>
        <w:t xml:space="preserve">controlling for other variables in the model. Similarly, the estimated relative risk of death for patientswho were TB </w:t>
      </w:r>
      <w:r>
        <w:rPr>
          <w:rFonts w:ascii="Times New Roman" w:cs="Times New Roman" w:eastAsia="TimesNewRomanPSMT" w:hAnsi="Times New Roman"/>
          <w:sz w:val="20"/>
          <w:szCs w:val="20"/>
        </w:rPr>
        <w:t xml:space="preserve">co-infected was </w:t>
      </w:r>
      <w:r>
        <w:rPr>
          <w:rFonts w:ascii="Times New Roman" w:cs="Times New Roman" w:hAnsi="Times New Roman"/>
          <w:color w:val="000000"/>
          <w:sz w:val="20"/>
          <w:szCs w:val="20"/>
        </w:rPr>
        <w:t xml:space="preserve">1.458 </w:t>
      </w:r>
      <w:r>
        <w:rPr>
          <w:rFonts w:ascii="Times New Roman" w:cs="Times New Roman" w:eastAsia="TimesNewRomanPSMT" w:hAnsi="Times New Roman"/>
          <w:sz w:val="20"/>
          <w:szCs w:val="20"/>
        </w:rPr>
        <w:t xml:space="preserve">times higher risk of death </w:t>
      </w:r>
      <w:r>
        <w:rPr>
          <w:rFonts w:ascii="Times New Roman" w:cs="Times New Roman" w:hAnsi="Times New Roman"/>
          <w:sz w:val="20"/>
          <w:szCs w:val="20"/>
        </w:rPr>
        <w:t xml:space="preserve">than patients not </w:t>
      </w:r>
      <w:r>
        <w:rPr>
          <w:rFonts w:ascii="Times New Roman" w:cs="Times New Roman" w:eastAsia="TimesNewRomanPSMT" w:hAnsi="Times New Roman"/>
          <w:sz w:val="20"/>
          <w:szCs w:val="20"/>
        </w:rPr>
        <w:t>TB</w:t>
      </w:r>
      <w:r>
        <w:rPr>
          <w:rFonts w:ascii="Times New Roman" w:cs="Times New Roman" w:eastAsia="TimesNewRomanPSMT" w:hAnsi="Times New Roman"/>
          <w:sz w:val="20"/>
          <w:szCs w:val="20"/>
        </w:rPr>
        <w:t xml:space="preserve"> </w:t>
      </w:r>
      <w:r>
        <w:rPr>
          <w:rFonts w:ascii="Times New Roman" w:cs="Times New Roman" w:eastAsia="TimesNewRomanPSMT" w:hAnsi="Times New Roman"/>
          <w:sz w:val="20"/>
          <w:szCs w:val="20"/>
        </w:rPr>
        <w:t xml:space="preserve">co-infected </w:t>
      </w:r>
      <w:r>
        <w:rPr>
          <w:rFonts w:ascii="Times New Roman" w:cs="Times New Roman" w:hAnsi="Times New Roman"/>
          <w:color w:val="000000"/>
          <w:sz w:val="20"/>
          <w:szCs w:val="20"/>
        </w:rPr>
        <w:t>[</w:t>
      </w:r>
      <w:r>
        <w:rPr>
          <w:rFonts w:ascii="Times New Roman" w:cs="Times New Roman" w:hAnsi="Times New Roman"/>
          <w:sz w:val="20"/>
          <w:szCs w:val="20"/>
        </w:rPr>
        <w:t>95% CI: 1.008-2.109</w:t>
      </w:r>
      <w:r>
        <w:rPr>
          <w:rFonts w:ascii="Times New Roman" w:cs="Times New Roman" w:hAnsi="Times New Roman"/>
          <w:sz w:val="20"/>
          <w:szCs w:val="20"/>
        </w:rPr>
        <w:t>, p=0.045] controlling for other variables in the model.</w:t>
      </w:r>
    </w:p>
    <w:bookmarkStart w:id="363" w:name="_Toc450285343"/>
    <w:bookmarkStart w:id="364" w:name="_Toc450288361"/>
    <w:bookmarkStart w:id="365" w:name="_Toc450292810"/>
    <w:bookmarkStart w:id="366" w:name="_Toc450294537"/>
    <w:bookmarkStart w:id="367" w:name="_Toc450294920"/>
    <w:bookmarkStart w:id="368" w:name="_Toc450724177"/>
    <w:bookmarkStart w:id="369" w:name="_Toc450724422"/>
    <w:bookmarkStart w:id="370" w:name="_Toc451494734"/>
    <w:bookmarkStart w:id="371" w:name="_Toc451496328"/>
    <w:bookmarkStart w:id="372" w:name="_Toc451496831"/>
    <w:bookmarkStart w:id="373" w:name="_Toc451522879"/>
    <w:bookmarkStart w:id="374" w:name="_Toc451742117"/>
    <w:bookmarkStart w:id="375" w:name="_Toc451742858"/>
    <w:bookmarkStart w:id="376" w:name="_Toc452191119"/>
    <w:bookmarkStart w:id="377" w:name="_Toc452191668"/>
    <w:bookmarkStart w:id="378" w:name="_Toc452195089"/>
    <w:bookmarkStart w:id="379" w:name="_Toc414498739"/>
    <w:p>
      <w:pPr>
        <w:pStyle w:val="style2"/>
        <w:spacing w:lineRule="auto" w:line="240"/>
        <w:ind w:firstLine="270" w:left="-270"/>
        <w:rPr>
          <w:rFonts w:ascii="Times New Roman" w:cs="Times New Roman" w:hAnsi="Times New Roman"/>
          <w:bCs w:val="false"/>
          <w:color w:val="auto"/>
          <w:sz w:val="20"/>
          <w:szCs w:val="20"/>
        </w:rPr>
      </w:pPr>
      <w:r>
        <w:rPr>
          <w:rFonts w:ascii="Times New Roman" w:cs="Times New Roman" w:hAnsi="Times New Roman"/>
          <w:bCs w:val="false"/>
          <w:color w:val="auto"/>
          <w:sz w:val="20"/>
          <w:szCs w:val="20"/>
        </w:rPr>
        <w:t>4.4</w:t>
      </w:r>
      <w:bookmarkStart w:id="380" w:name="_Toc450285344"/>
      <w:bookmarkStart w:id="381" w:name="_Toc450288362"/>
      <w:bookmarkStart w:id="382" w:name="_Toc450292811"/>
      <w:bookmarkStart w:id="383" w:name="_Toc450294538"/>
      <w:bookmarkStart w:id="384" w:name="_Toc450294921"/>
      <w:bookmarkStart w:id="385" w:name="_Toc450724178"/>
      <w:bookmarkStart w:id="386" w:name="_Toc450724423"/>
      <w:bookmarkStart w:id="387" w:name="_Toc451494735"/>
      <w:bookmarkStart w:id="388" w:name="_Toc451496329"/>
      <w:bookmarkStart w:id="389" w:name="_Toc451496832"/>
      <w:bookmarkStart w:id="390" w:name="_Toc451522880"/>
      <w:bookmarkStart w:id="391" w:name="_Toc451742118"/>
      <w:bookmarkStart w:id="392" w:name="_Toc451742859"/>
      <w:bookmarkStart w:id="393" w:name="_Toc452191120"/>
      <w:bookmarkStart w:id="394" w:name="_Toc452191669"/>
      <w:bookmarkStart w:id="395" w:name="_Toc452195090"/>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ascii="Times New Roman" w:cs="Times New Roman" w:hAnsi="Times New Roman"/>
          <w:bCs w:val="false"/>
          <w:color w:val="auto"/>
          <w:sz w:val="20"/>
          <w:szCs w:val="20"/>
        </w:rPr>
        <w:t xml:space="preserve">. </w:t>
      </w:r>
      <w:r>
        <w:rPr>
          <w:color w:val="auto"/>
          <w:sz w:val="20"/>
          <w:szCs w:val="20"/>
        </w:rPr>
        <w:t>Parametric</w:t>
      </w:r>
      <w:r>
        <w:rPr>
          <w:color w:val="auto"/>
          <w:sz w:val="20"/>
          <w:szCs w:val="20"/>
        </w:rPr>
        <w:t xml:space="preserve"> </w:t>
      </w:r>
      <w:r>
        <w:rPr>
          <w:color w:val="auto"/>
          <w:sz w:val="20"/>
          <w:szCs w:val="20"/>
        </w:rPr>
        <w:t xml:space="preserve">Model </w:t>
      </w:r>
      <w:r>
        <w:rPr>
          <w:rFonts w:cs="Times New Roman"/>
          <w:color w:val="auto"/>
          <w:sz w:val="20"/>
          <w:szCs w:val="20"/>
        </w:rPr>
        <w:t>Comparison</w:t>
      </w:r>
      <w:r>
        <w:rPr>
          <w:color w:val="auto"/>
          <w:sz w:val="20"/>
          <w:szCs w:val="20"/>
        </w:rPr>
        <w:t xml:space="preserve"> for </w:t>
      </w:r>
      <w:r>
        <w:rPr>
          <w:color w:val="auto"/>
          <w:sz w:val="20"/>
          <w:szCs w:val="20"/>
        </w:rPr>
        <w:t>Time to death</w:t>
      </w:r>
      <w:r>
        <w:rPr>
          <w:color w:val="auto"/>
          <w:sz w:val="20"/>
          <w:szCs w:val="20"/>
        </w:rPr>
        <w:t xml:space="preserve"> of HIV infected Patients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From</w:t>
      </w:r>
      <w:r>
        <w:rPr>
          <w:rFonts w:ascii="Times New Roman" w:cs="Times New Roman" w:hAnsi="Times New Roman"/>
          <w:sz w:val="20"/>
          <w:szCs w:val="20"/>
        </w:rPr>
        <w:t xml:space="preserve"> </w:t>
      </w:r>
      <w:r>
        <w:rPr>
          <w:rFonts w:ascii="Times New Roman" w:cs="Times New Roman" w:hAnsi="Times New Roman"/>
          <w:sz w:val="20"/>
          <w:szCs w:val="20"/>
        </w:rPr>
        <w:t xml:space="preserve">this </w:t>
      </w:r>
      <w:r>
        <w:rPr>
          <w:rFonts w:ascii="Times New Roman" w:cs="Times New Roman" w:hAnsi="Times New Roman"/>
          <w:sz w:val="20"/>
          <w:szCs w:val="20"/>
        </w:rPr>
        <w:t xml:space="preserve">Time to death </w:t>
      </w:r>
      <w:r>
        <w:rPr>
          <w:rFonts w:ascii="Times New Roman" w:cs="Times New Roman" w:hAnsi="Times New Roman"/>
          <w:sz w:val="20"/>
          <w:szCs w:val="20"/>
        </w:rPr>
        <w:t>of HIV infected patients the parametric regression models were fitted</w:t>
      </w:r>
      <w:r>
        <w:rPr>
          <w:rFonts w:ascii="Times New Roman" w:cs="Times New Roman" w:hAnsi="Times New Roman"/>
          <w:sz w:val="20"/>
          <w:szCs w:val="20"/>
        </w:rPr>
        <w:t xml:space="preserve"> in Table 4.15of the Appendix.</w:t>
      </w:r>
      <w:r>
        <w:rPr>
          <w:rFonts w:ascii="Times New Roman" w:cs="Times New Roman" w:hAnsi="Times New Roman"/>
          <w:sz w:val="20"/>
          <w:szCs w:val="20"/>
        </w:rPr>
        <w:t>This</w:t>
      </w:r>
      <w:r>
        <w:rPr>
          <w:rFonts w:ascii="Times New Roman" w:cs="Times New Roman" w:hAnsi="Times New Roman"/>
          <w:sz w:val="20"/>
          <w:szCs w:val="20"/>
        </w:rPr>
        <w:t xml:space="preserve"> study</w:t>
      </w:r>
      <w:r>
        <w:rPr>
          <w:rFonts w:ascii="Times New Roman" w:cs="Times New Roman" w:hAnsi="Times New Roman"/>
          <w:sz w:val="20"/>
          <w:szCs w:val="20"/>
        </w:rPr>
        <w:t xml:space="preserve"> consider model Comparisonafter adjusting for the effect of covariates</w:t>
      </w:r>
      <w:r>
        <w:rPr>
          <w:rFonts w:ascii="Times New Roman" w:cs="Times New Roman" w:hAnsi="Times New Roman"/>
          <w:sz w:val="20"/>
          <w:szCs w:val="20"/>
        </w:rPr>
        <w:t xml:space="preserve"> andalso </w:t>
      </w:r>
      <w:r>
        <w:rPr>
          <w:rFonts w:ascii="Times New Roman" w:cs="Times New Roman" w:hAnsi="Times New Roman"/>
          <w:sz w:val="20"/>
          <w:szCs w:val="20"/>
        </w:rPr>
        <w:t>compare models by using graphical method based on the Cox-Snell residual plots and Akaikie information criterion (AIC)</w:t>
      </w:r>
      <w:r>
        <w:rPr>
          <w:rFonts w:ascii="Times New Roman" w:cs="Times New Roman" w:hAnsi="Times New Roman"/>
          <w:sz w:val="20"/>
          <w:szCs w:val="20"/>
        </w:rPr>
        <w:t>. In case of</w:t>
      </w:r>
      <w:r>
        <w:rPr>
          <w:rFonts w:ascii="Times New Roman" w:cs="Times New Roman" w:hAnsi="Times New Roman"/>
          <w:sz w:val="20"/>
          <w:szCs w:val="20"/>
        </w:rPr>
        <w:t xml:space="preserve"> </w:t>
      </w:r>
      <w:r>
        <w:rPr>
          <w:rFonts w:ascii="Times New Roman" w:cs="Times New Roman" w:hAnsi="Times New Roman"/>
          <w:sz w:val="20"/>
          <w:szCs w:val="20"/>
        </w:rPr>
        <w:t>Cox-Snell residual plot</w:t>
      </w:r>
      <w:r>
        <w:rPr>
          <w:rFonts w:ascii="Times New Roman" w:cs="Times New Roman" w:hAnsi="Times New Roman"/>
          <w:sz w:val="20"/>
          <w:szCs w:val="20"/>
        </w:rPr>
        <w:t>, if the model is good, the plot of Cox-Snell residuals versus cumulative hazard estimates line should pa</w:t>
      </w:r>
      <w:r>
        <w:rPr>
          <w:rFonts w:ascii="Times New Roman" w:cs="Times New Roman" w:hAnsi="Times New Roman"/>
          <w:sz w:val="20"/>
          <w:szCs w:val="20"/>
        </w:rPr>
        <w:t xml:space="preserve">sses through the origin. Here </w:t>
      </w:r>
      <w:r>
        <w:rPr>
          <w:rFonts w:ascii="Times New Roman" w:cs="Times New Roman" w:hAnsi="Times New Roman"/>
          <w:sz w:val="20"/>
          <w:szCs w:val="20"/>
        </w:rPr>
        <w:t>this study presents</w:t>
      </w:r>
      <w:r>
        <w:rPr>
          <w:rFonts w:ascii="Times New Roman" w:cs="Times New Roman" w:hAnsi="Times New Roman"/>
          <w:sz w:val="20"/>
          <w:szCs w:val="20"/>
        </w:rPr>
        <w:t xml:space="preserve"> the Cox-</w:t>
      </w:r>
      <w:r>
        <w:rPr>
          <w:rFonts w:ascii="Times New Roman" w:cs="Times New Roman" w:hAnsi="Times New Roman"/>
          <w:sz w:val="20"/>
          <w:szCs w:val="20"/>
        </w:rPr>
        <w:t>Snell residual</w:t>
      </w:r>
      <w:r>
        <w:rPr>
          <w:rFonts w:ascii="Times New Roman" w:cs="Times New Roman" w:hAnsi="Times New Roman"/>
          <w:sz w:val="20"/>
          <w:szCs w:val="20"/>
        </w:rPr>
        <w:t xml:space="preserve">plots for model </w:t>
      </w:r>
      <w:r>
        <w:rPr>
          <w:rFonts w:ascii="Times New Roman" w:cs="Times New Roman" w:hAnsi="Times New Roman"/>
          <w:sz w:val="20"/>
          <w:szCs w:val="20"/>
        </w:rPr>
        <w:t>comparison in Figures 4.5 to 4.8</w:t>
      </w:r>
      <w:r>
        <w:rPr>
          <w:rFonts w:ascii="Times New Roman" w:cs="Times New Roman" w:hAnsi="Times New Roman"/>
          <w:sz w:val="20"/>
          <w:szCs w:val="20"/>
        </w:rPr>
        <w:t>. From those figures Cox</w:t>
      </w:r>
      <w:r>
        <w:rPr>
          <w:rFonts w:ascii="Times New Roman" w:cs="Times New Roman" w:hAnsi="Times New Roman"/>
          <w:sz w:val="20"/>
          <w:szCs w:val="20"/>
        </w:rPr>
        <w:t>-Snell residuals plot for Weibull regression model shows deviation from the straight line passing through origin, it indicates that the Weibull regressi</w:t>
      </w:r>
      <w:r>
        <w:rPr>
          <w:rFonts w:ascii="Times New Roman" w:cs="Times New Roman" w:hAnsi="Times New Roman"/>
          <w:sz w:val="20"/>
          <w:szCs w:val="20"/>
        </w:rPr>
        <w:t>on model fit the data better, otherwise</w:t>
      </w:r>
      <w:r>
        <w:rPr>
          <w:rFonts w:ascii="Times New Roman" w:cs="Times New Roman" w:hAnsi="Times New Roman"/>
          <w:sz w:val="20"/>
          <w:szCs w:val="20"/>
        </w:rPr>
        <w:t xml:space="preserve"> that the exponential, log normal and log logistic regression models fit</w:t>
      </w:r>
      <w:r>
        <w:rPr>
          <w:rFonts w:ascii="Times New Roman" w:cs="Times New Roman" w:hAnsi="Times New Roman"/>
          <w:sz w:val="20"/>
          <w:szCs w:val="20"/>
        </w:rPr>
        <w:t xml:space="preserve"> the data </w:t>
      </w:r>
      <w:r>
        <w:rPr>
          <w:rFonts w:ascii="Times New Roman" w:cs="Times New Roman" w:hAnsi="Times New Roman"/>
          <w:sz w:val="20"/>
          <w:szCs w:val="20"/>
        </w:rPr>
        <w:t xml:space="preserve"> poorly.</w:t>
      </w:r>
    </w:p>
    <w:p>
      <w:pPr>
        <w:pStyle w:val="style0"/>
        <w:spacing w:after="0" w:lineRule="auto" w:line="240"/>
        <w:ind w:firstLine="270" w:left="-270"/>
        <w:rPr>
          <w:sz w:val="20"/>
          <w:szCs w:val="20"/>
        </w:rPr>
      </w:pPr>
    </w:p>
    <w:p>
      <w:pPr>
        <w:pStyle w:val="style0"/>
        <w:spacing w:after="0" w:lineRule="auto" w:line="240"/>
        <w:ind w:firstLine="270" w:left="-270"/>
        <w:rPr>
          <w:sz w:val="20"/>
          <w:szCs w:val="20"/>
        </w:rPr>
      </w:pPr>
    </w:p>
    <w:p>
      <w:pPr>
        <w:pStyle w:val="style0"/>
        <w:spacing w:after="0" w:lineRule="auto" w:line="240"/>
        <w:ind w:firstLine="270" w:left="-270"/>
        <w:rPr>
          <w:sz w:val="20"/>
          <w:szCs w:val="20"/>
        </w:rPr>
      </w:pPr>
      <w:r>
        <w:rPr>
          <w:noProof/>
          <w:sz w:val="20"/>
          <w:szCs w:val="20"/>
        </w:rPr>
        <w:drawing>
          <wp:anchor distT="0" distB="0" distL="114300" distR="114300" simplePos="false" relativeHeight="3" behindDoc="false" locked="false" layoutInCell="true" allowOverlap="true">
            <wp:simplePos x="0" y="0"/>
            <wp:positionH relativeFrom="column">
              <wp:posOffset>3423285</wp:posOffset>
            </wp:positionH>
            <wp:positionV relativeFrom="paragraph">
              <wp:align>top</wp:align>
            </wp:positionV>
            <wp:extent cx="3123564" cy="2047874"/>
            <wp:effectExtent l="0" t="0" r="0" b="0"/>
            <wp:wrapSquare wrapText="bothSides"/>
            <wp:docPr id="1031"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true">
                    <a:blip r:embed="rId7" cstate="print">
                      <a:extLst>
                        <a:ext uri="{28A0092B-C50C-407E-A947-70E740481C1C}">
                          <a14:useLocalDpi xmlns:a14="http://schemas.microsoft.com/office/drawing/2010/main" val="0"/>
                        </a:ext>
                      </a:extLst>
                    </a:blip>
                    <a:srcRect l="0" t="0" r="0" b="0"/>
                    <a:stretch>
                      <a:fillRect/>
                    </a:stretch>
                  </pic:blipFill>
                  <pic:spPr>
                    <a:xfrm>
                      <a:off x="0" y="0"/>
                      <a:ext cx="3123564" cy="2047874"/>
                    </a:xfrm>
                    <a:prstGeom prst="rect">
                      <a:avLst/>
                    </a:prstGeom>
                  </pic:spPr>
                </pic:pic>
              </a:graphicData>
            </a:graphic>
          </wp:anchor>
        </w:drawing>
      </w:r>
      <w:r>
        <w:rPr>
          <w:noProof/>
          <w:sz w:val="20"/>
          <w:szCs w:val="20"/>
        </w:rPr>
        <w:drawing>
          <wp:inline distT="0" distB="0" distL="0" distR="0">
            <wp:extent cx="3167481" cy="2048256"/>
            <wp:effectExtent l="0" t="0" r="0" b="0"/>
            <wp:docPr id="1032"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true">
                    <a:blip r:embed="rId8" cstate="print">
                      <a:extLst>
                        <a:ext uri="{28A0092B-C50C-407E-A947-70E740481C1C}">
                          <a14:useLocalDpi xmlns:a14="http://schemas.microsoft.com/office/drawing/2010/main" val="0"/>
                        </a:ext>
                      </a:extLst>
                    </a:blip>
                    <a:srcRect l="0" t="0" r="0" b="0"/>
                    <a:stretch>
                      <a:fillRect/>
                    </a:stretch>
                  </pic:blipFill>
                  <pic:spPr>
                    <a:xfrm>
                      <a:off x="0" y="0"/>
                      <a:ext cx="3167481" cy="2048256"/>
                    </a:xfrm>
                    <a:prstGeom prst="rect">
                      <a:avLst/>
                    </a:prstGeom>
                  </pic:spPr>
                </pic:pic>
              </a:graphicData>
            </a:graphic>
          </wp:inline>
        </w:drawing>
      </w:r>
    </w:p>
    <w:bookmarkStart w:id="396" w:name="_Toc452191121"/>
    <w:bookmarkStart w:id="397" w:name="_Toc452191670"/>
    <w:bookmarkStart w:id="398" w:name="_Toc452195091"/>
    <w:p>
      <w:pPr>
        <w:pStyle w:val="style1"/>
        <w:spacing w:before="0" w:lineRule="auto" w:line="240"/>
        <w:ind w:firstLine="270" w:left="-270"/>
        <w:rPr>
          <w:rFonts w:ascii="Times New Roman" w:cs="Times New Roman" w:hAnsi="Times New Roman"/>
          <w:b w:val="false"/>
          <w:color w:val="auto"/>
          <w:sz w:val="20"/>
          <w:szCs w:val="20"/>
        </w:rPr>
      </w:pPr>
      <w:r>
        <w:rPr>
          <w:rFonts w:ascii="Times New Roman" w:cs="Times New Roman" w:hAnsi="Times New Roman"/>
          <w:color w:val="auto"/>
          <w:sz w:val="20"/>
          <w:szCs w:val="20"/>
        </w:rPr>
        <w:t>Figure 4.</w:t>
      </w:r>
      <w:r>
        <w:rPr>
          <w:rFonts w:ascii="Times New Roman" w:cs="Times New Roman" w:hAnsi="Times New Roman"/>
          <w:color w:val="auto"/>
          <w:sz w:val="20"/>
          <w:szCs w:val="20"/>
        </w:rPr>
        <w:t>5</w:t>
      </w:r>
      <w:r>
        <w:rPr>
          <w:rFonts w:ascii="Times New Roman" w:cs="Times New Roman" w:hAnsi="Times New Roman"/>
          <w:b w:val="false"/>
          <w:color w:val="auto"/>
          <w:sz w:val="20"/>
          <w:szCs w:val="20"/>
        </w:rPr>
        <w:t xml:space="preserve"> The Cox Snell plot after fitting                      </w:t>
      </w:r>
      <w:r>
        <w:rPr>
          <w:rFonts w:ascii="Times New Roman" w:cs="Times New Roman" w:hAnsi="Times New Roman"/>
          <w:color w:val="auto"/>
          <w:sz w:val="20"/>
          <w:szCs w:val="20"/>
        </w:rPr>
        <w:t>Figure 4.</w:t>
      </w:r>
      <w:r>
        <w:rPr>
          <w:rFonts w:ascii="Times New Roman" w:cs="Times New Roman" w:hAnsi="Times New Roman"/>
          <w:color w:val="auto"/>
          <w:sz w:val="20"/>
          <w:szCs w:val="20"/>
        </w:rPr>
        <w:t>6</w:t>
      </w:r>
      <w:r>
        <w:rPr>
          <w:rFonts w:ascii="Times New Roman" w:cs="Times New Roman" w:hAnsi="Times New Roman"/>
          <w:b w:val="false"/>
          <w:color w:val="auto"/>
          <w:sz w:val="20"/>
          <w:szCs w:val="20"/>
        </w:rPr>
        <w:t xml:space="preserve"> The Cox Snell plot after fitting</w:t>
      </w:r>
      <w:bookmarkEnd w:id="396"/>
      <w:bookmarkEnd w:id="397"/>
      <w:bookmarkEnd w:id="398"/>
    </w:p>
    <w:p>
      <w:pPr>
        <w:pStyle w:val="style0"/>
        <w:tabs>
          <w:tab w:val="left" w:leader="none" w:pos="935"/>
        </w:tabs>
        <w:spacing w:after="0" w:lineRule="auto" w:line="240"/>
        <w:ind w:firstLine="270" w:left="-270"/>
        <w:rPr>
          <w:rFonts w:ascii="Times New Roman" w:cs="Times New Roman" w:hAnsi="Times New Roman"/>
          <w:sz w:val="20"/>
          <w:szCs w:val="20"/>
          <w:lang w:val="en-GB"/>
        </w:rPr>
      </w:pPr>
      <w:r>
        <w:rPr>
          <w:rFonts w:ascii="Times New Roman" w:cs="Times New Roman" w:hAnsi="Times New Roman"/>
          <w:sz w:val="20"/>
          <w:szCs w:val="20"/>
          <w:lang w:val="en-GB"/>
        </w:rPr>
        <w:t xml:space="preserve">                 Weibull regression model                                                  Exponential regression model</w:t>
      </w:r>
    </w:p>
    <w:p>
      <w:pPr>
        <w:pStyle w:val="style0"/>
        <w:spacing w:after="0" w:lineRule="auto" w:line="240"/>
        <w:ind w:firstLine="270" w:left="-270"/>
        <w:rPr>
          <w:sz w:val="20"/>
          <w:szCs w:val="20"/>
        </w:rPr>
      </w:pPr>
      <w:r>
        <w:rPr>
          <w:noProof/>
          <w:sz w:val="20"/>
          <w:szCs w:val="20"/>
        </w:rPr>
        <w:drawing>
          <wp:anchor distT="0" distB="0" distL="114300" distR="114300" simplePos="false" relativeHeight="2" behindDoc="false" locked="false" layoutInCell="true" allowOverlap="true">
            <wp:simplePos x="0" y="0"/>
            <wp:positionH relativeFrom="column">
              <wp:posOffset>3281680</wp:posOffset>
            </wp:positionH>
            <wp:positionV relativeFrom="paragraph">
              <wp:posOffset>-1905</wp:posOffset>
            </wp:positionV>
            <wp:extent cx="3093720" cy="2011680"/>
            <wp:effectExtent l="0" t="0" r="0" b="0"/>
            <wp:wrapSquare wrapText="bothSides"/>
            <wp:docPr id="1033"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
                    <pic:cNvPicPr/>
                  </pic:nvPicPr>
                  <pic:blipFill rotWithShape="true">
                    <a:blip r:embed="rId9" cstate="print">
                      <a:extLst>
                        <a:ext uri="{28A0092B-C50C-407E-A947-70E740481C1C}">
                          <a14:useLocalDpi xmlns:a14="http://schemas.microsoft.com/office/drawing/2010/main" val="0"/>
                        </a:ext>
                      </a:extLst>
                    </a:blip>
                    <a:srcRect l="0" t="0" r="0" b="0"/>
                    <a:stretch>
                      <a:fillRect/>
                    </a:stretch>
                  </pic:blipFill>
                  <pic:spPr>
                    <a:xfrm>
                      <a:off x="0" y="0"/>
                      <a:ext cx="3093720" cy="2011680"/>
                    </a:xfrm>
                    <a:prstGeom prst="rect">
                      <a:avLst/>
                    </a:prstGeom>
                  </pic:spPr>
                </pic:pic>
              </a:graphicData>
            </a:graphic>
          </wp:anchor>
        </w:drawing>
      </w:r>
      <w:r>
        <w:rPr>
          <w:noProof/>
          <w:sz w:val="20"/>
          <w:szCs w:val="20"/>
        </w:rPr>
        <w:drawing>
          <wp:inline distT="0" distB="0" distL="0" distR="0">
            <wp:extent cx="3160166" cy="2011680"/>
            <wp:effectExtent l="0" t="0" r="0" b="0"/>
            <wp:docPr id="1034" name="Image1"/>
            <wp:cNvGraphicFramePr>
              <a:graphicFrameLocks xmlns:a="http://schemas.openxmlformats.org/drawingml/2006/main" noChangeAspect="tru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rotWithShape="true">
                    <a:blip r:embed="rId10" cstate="print">
                      <a:extLst>
                        <a:ext uri="{28A0092B-C50C-407E-A947-70E740481C1C}">
                          <a14:useLocalDpi xmlns:a14="http://schemas.microsoft.com/office/drawing/2010/main" val="0"/>
                        </a:ext>
                      </a:extLst>
                    </a:blip>
                    <a:srcRect l="0" t="0" r="0" b="0"/>
                    <a:stretch>
                      <a:fillRect/>
                    </a:stretch>
                  </pic:blipFill>
                  <pic:spPr>
                    <a:xfrm>
                      <a:off x="0" y="0"/>
                      <a:ext cx="3160166" cy="2011680"/>
                    </a:xfrm>
                    <a:prstGeom prst="rect">
                      <a:avLst/>
                    </a:prstGeom>
                  </pic:spPr>
                </pic:pic>
              </a:graphicData>
            </a:graphic>
          </wp:inline>
        </w:drawing>
      </w:r>
    </w:p>
    <w:bookmarkStart w:id="399" w:name="_Toc452191122"/>
    <w:bookmarkStart w:id="400" w:name="_Toc452191671"/>
    <w:bookmarkStart w:id="401" w:name="_Toc452195092"/>
    <w:p>
      <w:pPr>
        <w:pStyle w:val="style1"/>
        <w:spacing w:before="0" w:lineRule="auto" w:line="240"/>
        <w:ind w:firstLine="270" w:left="-270"/>
        <w:rPr>
          <w:rFonts w:ascii="Times New Roman" w:cs="Times New Roman" w:hAnsi="Times New Roman"/>
          <w:b w:val="false"/>
          <w:color w:val="auto"/>
          <w:sz w:val="20"/>
          <w:szCs w:val="20"/>
        </w:rPr>
      </w:pPr>
      <w:r>
        <w:rPr>
          <w:rFonts w:ascii="Times New Roman" w:cs="Times New Roman" w:hAnsi="Times New Roman"/>
          <w:color w:val="auto"/>
          <w:sz w:val="20"/>
          <w:szCs w:val="20"/>
        </w:rPr>
        <w:t>Figure 4.7</w:t>
      </w:r>
      <w:r>
        <w:rPr>
          <w:rFonts w:ascii="Times New Roman" w:cs="Times New Roman" w:hAnsi="Times New Roman"/>
          <w:b w:val="false"/>
          <w:color w:val="auto"/>
          <w:sz w:val="20"/>
          <w:szCs w:val="20"/>
        </w:rPr>
        <w:t xml:space="preserve"> The Cox Snell plot after fitting                           </w:t>
      </w:r>
      <w:r>
        <w:rPr>
          <w:rFonts w:ascii="Times New Roman" w:cs="Times New Roman" w:hAnsi="Times New Roman"/>
          <w:color w:val="auto"/>
          <w:sz w:val="20"/>
          <w:szCs w:val="20"/>
        </w:rPr>
        <w:t>Figure 4.8</w:t>
      </w:r>
      <w:r>
        <w:rPr>
          <w:rFonts w:ascii="Times New Roman" w:cs="Times New Roman" w:hAnsi="Times New Roman"/>
          <w:b w:val="false"/>
          <w:color w:val="auto"/>
          <w:sz w:val="20"/>
          <w:szCs w:val="20"/>
        </w:rPr>
        <w:t xml:space="preserve"> The Cox Snell plot after fitting</w:t>
      </w:r>
      <w:bookmarkEnd w:id="399"/>
      <w:bookmarkEnd w:id="400"/>
      <w:bookmarkEnd w:id="401"/>
    </w:p>
    <w:p>
      <w:pPr>
        <w:pStyle w:val="style0"/>
        <w:spacing w:after="0" w:lineRule="auto" w:line="240"/>
        <w:ind w:firstLine="270" w:left="-270"/>
        <w:rPr>
          <w:rFonts w:ascii="Times New Roman" w:cs="Times New Roman" w:hAnsi="Times New Roman"/>
          <w:sz w:val="20"/>
          <w:szCs w:val="20"/>
          <w:lang w:val="en-GB"/>
        </w:rPr>
      </w:pPr>
      <w:r>
        <w:rPr>
          <w:rFonts w:ascii="Times New Roman" w:cs="Times New Roman" w:hAnsi="Times New Roman"/>
          <w:sz w:val="20"/>
          <w:szCs w:val="20"/>
          <w:lang w:val="en-GB"/>
        </w:rPr>
        <w:t xml:space="preserve">                   log logistic regression model  lognormal regression model</w:t>
      </w:r>
    </w:p>
    <w:p>
      <w:pPr>
        <w:pStyle w:val="style0"/>
        <w:autoSpaceDE w:val="false"/>
        <w:autoSpaceDN w:val="false"/>
        <w:adjustRightInd w:val="false"/>
        <w:spacing w:before="240" w:after="0" w:lineRule="auto" w:line="240"/>
        <w:ind w:firstLine="270" w:left="-270"/>
        <w:jc w:val="both"/>
        <w:rPr>
          <w:rFonts w:ascii="Times New Roman" w:cs="Times New Roman" w:hAnsi="Times New Roman"/>
          <w:bCs/>
          <w:sz w:val="20"/>
          <w:szCs w:val="20"/>
        </w:rPr>
      </w:pPr>
      <w:r>
        <w:rPr>
          <w:rFonts w:ascii="Times New Roman" w:cs="Times New Roman" w:hAnsi="Times New Roman"/>
          <w:sz w:val="20"/>
          <w:szCs w:val="20"/>
        </w:rPr>
        <w:t>But graphical methods may not assure the result. In order to select the appropriate parametric survival regression mode</w:t>
      </w:r>
      <w:r>
        <w:rPr>
          <w:rFonts w:ascii="Times New Roman" w:cs="Times New Roman" w:hAnsi="Times New Roman"/>
          <w:sz w:val="20"/>
          <w:szCs w:val="20"/>
        </w:rPr>
        <w:t>l</w:t>
      </w:r>
      <w:bookmarkStart w:id="402" w:name="_GoBack"/>
      <w:bookmarkEnd w:id="402"/>
      <w:r>
        <w:rPr>
          <w:rFonts w:ascii="Times New Roman" w:cs="Times New Roman" w:hAnsi="Times New Roman"/>
          <w:sz w:val="20"/>
          <w:szCs w:val="20"/>
        </w:rPr>
        <w:t xml:space="preserve">, the most common applicable criterion called Akaikie </w:t>
      </w:r>
      <w:r>
        <w:rPr>
          <w:rFonts w:ascii="Times New Roman" w:cs="Times New Roman" w:hAnsi="Times New Roman"/>
          <w:sz w:val="20"/>
          <w:szCs w:val="20"/>
        </w:rPr>
        <w:t>information criterion (AIC). Nevertheless</w:t>
      </w:r>
      <w:r>
        <w:rPr>
          <w:rFonts w:ascii="Times New Roman" w:cs="Times New Roman" w:hAnsi="Times New Roman"/>
          <w:sz w:val="20"/>
          <w:szCs w:val="20"/>
        </w:rPr>
        <w:t>, the results of cox-snell were consistent with the results based on Akaikie‟s information criterion. Here</w:t>
      </w:r>
      <w:r>
        <w:rPr>
          <w:rFonts w:ascii="Times New Roman" w:cs="Times New Roman" w:hAnsi="Times New Roman"/>
          <w:sz w:val="20"/>
          <w:szCs w:val="20"/>
        </w:rPr>
        <w:t>, the</w:t>
      </w:r>
      <w:r>
        <w:rPr>
          <w:rFonts w:ascii="Times New Roman" w:cs="Times New Roman" w:hAnsi="Times New Roman"/>
          <w:sz w:val="20"/>
          <w:szCs w:val="20"/>
        </w:rPr>
        <w:t xml:space="preserve"> models are not </w:t>
      </w:r>
      <w:r>
        <w:rPr>
          <w:rFonts w:ascii="Times New Roman" w:cs="Times New Roman" w:hAnsi="Times New Roman"/>
          <w:sz w:val="20"/>
          <w:szCs w:val="20"/>
        </w:rPr>
        <w:t>nested;</w:t>
      </w:r>
      <w:r>
        <w:rPr>
          <w:rFonts w:ascii="Times New Roman" w:cs="Times New Roman" w:hAnsi="Times New Roman"/>
          <w:sz w:val="20"/>
          <w:szCs w:val="20"/>
        </w:rPr>
        <w:t xml:space="preserve"> it is not possible to compare the models using logliklihood values. When the models were compared using AIC</w:t>
      </w:r>
      <w:r>
        <w:rPr>
          <w:rFonts w:ascii="Times New Roman" w:cs="Times New Roman" w:hAnsi="Times New Roman"/>
          <w:sz w:val="20"/>
          <w:szCs w:val="20"/>
        </w:rPr>
        <w:t xml:space="preserve"> in </w:t>
      </w:r>
      <w:r>
        <w:rPr>
          <w:rFonts w:ascii="Times New Roman" w:cs="Times New Roman" w:hAnsi="Times New Roman"/>
          <w:sz w:val="20"/>
          <w:szCs w:val="20"/>
        </w:rPr>
        <w:t>Table 4.7</w:t>
      </w:r>
      <w:r>
        <w:rPr>
          <w:rFonts w:ascii="Times New Roman" w:cs="Times New Roman" w:hAnsi="Times New Roman"/>
          <w:sz w:val="20"/>
          <w:szCs w:val="20"/>
        </w:rPr>
        <w:t>, among</w:t>
      </w:r>
      <w:r>
        <w:rPr>
          <w:rFonts w:ascii="Times New Roman" w:cs="Times New Roman" w:hAnsi="Times New Roman"/>
          <w:sz w:val="20"/>
          <w:szCs w:val="20"/>
        </w:rPr>
        <w:t xml:space="preserve"> the parametric models,</w:t>
      </w:r>
      <w:r>
        <w:rPr>
          <w:rFonts w:ascii="Times New Roman" w:cs="Times New Roman" w:hAnsi="Times New Roman"/>
          <w:sz w:val="20"/>
          <w:szCs w:val="20"/>
        </w:rPr>
        <w:t xml:space="preserve"> the result of</w:t>
      </w:r>
      <w:r>
        <w:rPr>
          <w:rFonts w:ascii="Times New Roman" w:cs="Times New Roman" w:hAnsi="Times New Roman"/>
          <w:sz w:val="20"/>
          <w:szCs w:val="20"/>
        </w:rPr>
        <w:t xml:space="preserve">  table</w:t>
      </w:r>
      <w:r>
        <w:rPr>
          <w:rFonts w:ascii="Times New Roman" w:cs="Times New Roman" w:hAnsi="Times New Roman"/>
          <w:sz w:val="20"/>
          <w:szCs w:val="20"/>
        </w:rPr>
        <w:t xml:space="preserve"> reveal</w:t>
      </w:r>
      <w:r>
        <w:rPr>
          <w:rFonts w:ascii="Times New Roman" w:cs="Times New Roman" w:hAnsi="Times New Roman"/>
          <w:sz w:val="20"/>
          <w:szCs w:val="20"/>
        </w:rPr>
        <w:t xml:space="preserve"> that the Weibull regression model has the smallest AIC, which shows thatweibullmodel is the appropriate parametric survival regression model for HIV infected  patients from Hossana</w:t>
      </w:r>
      <w:r>
        <w:rPr>
          <w:rFonts w:ascii="Times New Roman" w:cs="Times New Roman" w:hAnsi="Times New Roman"/>
          <w:bCs/>
          <w:sz w:val="20"/>
          <w:szCs w:val="20"/>
        </w:rPr>
        <w:t>Queen ElleniMohamad Memorial Hospital.</w:t>
      </w:r>
    </w:p>
    <w:bookmarkStart w:id="403" w:name="_Toc451480412"/>
    <w:bookmarkStart w:id="404" w:name="_Toc451493939"/>
    <w:bookmarkStart w:id="405" w:name="_Toc451494740"/>
    <w:bookmarkStart w:id="406" w:name="_Toc451496334"/>
    <w:bookmarkStart w:id="407" w:name="_Toc451496837"/>
    <w:bookmarkStart w:id="408" w:name="_Toc451522885"/>
    <w:bookmarkStart w:id="409" w:name="_Toc451742123"/>
    <w:bookmarkStart w:id="410" w:name="_Toc451742864"/>
    <w:bookmarkStart w:id="411" w:name="_Toc452191123"/>
    <w:bookmarkStart w:id="412" w:name="_Toc452191672"/>
    <w:bookmarkStart w:id="413" w:name="_Toc452195093"/>
    <w:bookmarkStart w:id="414" w:name="_Toc450288367"/>
    <w:bookmarkStart w:id="415" w:name="_Toc450291597"/>
    <w:bookmarkStart w:id="416" w:name="_Toc450292816"/>
    <w:bookmarkStart w:id="417" w:name="_Toc450294543"/>
    <w:bookmarkStart w:id="418" w:name="_Toc450294926"/>
    <w:bookmarkStart w:id="419" w:name="_Toc450525949"/>
    <w:bookmarkStart w:id="420" w:name="_Toc450724182"/>
    <w:bookmarkStart w:id="421" w:name="_Toc450724427"/>
    <w:p>
      <w:pPr>
        <w:pStyle w:val="style1"/>
        <w:spacing w:lineRule="auto" w:line="240"/>
        <w:ind w:firstLine="270" w:left="-270"/>
        <w:rPr>
          <w:rFonts w:ascii="Times New Roman" w:cs="Times New Roman" w:hAnsi="Times New Roman"/>
          <w:b w:val="false"/>
          <w:color w:val="auto"/>
          <w:sz w:val="20"/>
          <w:szCs w:val="20"/>
        </w:rPr>
      </w:pPr>
      <w:r>
        <w:rPr>
          <w:rFonts w:ascii="Times New Roman" w:cs="Times New Roman" w:hAnsi="Times New Roman"/>
          <w:color w:val="auto"/>
          <w:sz w:val="20"/>
          <w:szCs w:val="20"/>
        </w:rPr>
        <w:t>Table 4.</w:t>
      </w:r>
      <w:r>
        <w:rPr>
          <w:rFonts w:ascii="Times New Roman" w:cs="Times New Roman" w:hAnsi="Times New Roman"/>
          <w:color w:val="auto"/>
          <w:sz w:val="20"/>
          <w:szCs w:val="20"/>
        </w:rPr>
        <w:t>7</w:t>
      </w:r>
      <w:r>
        <w:rPr>
          <w:rFonts w:ascii="Times New Roman" w:cs="Times New Roman" w:hAnsi="Times New Roman"/>
          <w:b w:val="false"/>
          <w:color w:val="auto"/>
          <w:sz w:val="20"/>
          <w:szCs w:val="20"/>
        </w:rPr>
        <w:t>: Selection of parametric survival regression model by using Log likelihood and AIC</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tbl>
      <w:tblPr>
        <w:tblStyle w:val="style196"/>
        <w:tblW w:w="0" w:type="auto"/>
        <w:tblInd w:w="988" w:type="dxa"/>
        <w:tblBorders>
          <w:top w:val="none" w:sz="0" w:space="0" w:color="auto"/>
          <w:left w:val="none" w:sz="0" w:space="0" w:color="auto"/>
          <w:bottom w:val="none" w:sz="0" w:space="0" w:color="auto"/>
          <w:right w:val="none" w:sz="0" w:space="0" w:color="auto"/>
        </w:tblBorders>
        <w:tblLook w:firstRow="0" w:lastRow="0" w:firstColumn="0" w:lastColumn="0" w:noHBand="0" w:noVBand="1"/>
      </w:tblPr>
      <w:tblGrid>
        <w:gridCol w:w="1980"/>
        <w:gridCol w:w="3060"/>
        <w:gridCol w:w="1440"/>
      </w:tblGrid>
      <w:tr>
        <w:trPr>
          <w:trHeight w:val="313" w:hRule="atLeast"/>
        </w:trPr>
        <w:tc>
          <w:tcPr>
            <w:tcW w:w="1980" w:type="dxa"/>
            <w:tcBorders>
              <w:top w:val="single" w:sz="12" w:space="0" w:color="auto"/>
              <w:left w:val="none" w:sz="0" w:space="0" w:color="auto"/>
              <w:bottom w:val="single" w:sz="12" w:space="0" w:color="auto"/>
              <w:right w:val="none" w:sz="0" w:space="0" w:color="auto"/>
            </w:tcBorders>
            <w:tcFitText w:val="false"/>
          </w:tcPr>
          <w:p>
            <w:pPr>
              <w:pStyle w:val="style4097"/>
              <w:ind w:firstLine="270" w:left="-270"/>
              <w:rPr>
                <w:rFonts w:ascii="Times New Roman" w:cs="Times New Roman" w:hAnsi="Times New Roman"/>
                <w:sz w:val="20"/>
                <w:szCs w:val="20"/>
              </w:rPr>
            </w:pPr>
            <w:r>
              <w:rPr>
                <w:rFonts w:ascii="Times New Roman" w:cs="Times New Roman" w:hAnsi="Times New Roman"/>
                <w:b/>
                <w:bCs/>
                <w:iCs/>
                <w:sz w:val="20"/>
                <w:szCs w:val="20"/>
              </w:rPr>
              <w:t xml:space="preserve">Model </w:t>
            </w:r>
          </w:p>
        </w:tc>
        <w:tc>
          <w:tcPr>
            <w:tcW w:w="3060" w:type="dxa"/>
            <w:tcBorders>
              <w:top w:val="single" w:sz="12" w:space="0" w:color="auto"/>
              <w:left w:val="none" w:sz="0" w:space="0" w:color="auto"/>
              <w:bottom w:val="single" w:sz="12" w:space="0" w:color="auto"/>
              <w:right w:val="none" w:sz="0" w:space="0" w:color="auto"/>
            </w:tcBorders>
            <w:tcFitText w:val="false"/>
          </w:tcPr>
          <w:p>
            <w:pPr>
              <w:pStyle w:val="style4097"/>
              <w:ind w:firstLine="270" w:left="-270"/>
              <w:rPr>
                <w:rFonts w:ascii="Times New Roman" w:cs="Times New Roman" w:hAnsi="Times New Roman"/>
                <w:sz w:val="20"/>
                <w:szCs w:val="20"/>
              </w:rPr>
            </w:pPr>
            <w:r>
              <w:rPr>
                <w:rFonts w:ascii="Times New Roman" w:cs="Times New Roman" w:hAnsi="Times New Roman"/>
                <w:b/>
                <w:bCs/>
                <w:iCs/>
                <w:sz w:val="20"/>
                <w:szCs w:val="20"/>
              </w:rPr>
              <w:t xml:space="preserve">log-likelihood </w:t>
            </w:r>
          </w:p>
        </w:tc>
        <w:tc>
          <w:tcPr>
            <w:tcW w:w="1440" w:type="dxa"/>
            <w:tcBorders>
              <w:top w:val="single" w:sz="12" w:space="0" w:color="auto"/>
              <w:left w:val="none" w:sz="0" w:space="0" w:color="auto"/>
              <w:bottom w:val="single" w:sz="12" w:space="0" w:color="auto"/>
              <w:right w:val="none" w:sz="0" w:space="0" w:color="auto"/>
            </w:tcBorders>
            <w:tcFitText w:val="false"/>
          </w:tcPr>
          <w:p>
            <w:pPr>
              <w:pStyle w:val="style4097"/>
              <w:ind w:firstLine="270" w:left="-270"/>
              <w:rPr>
                <w:rFonts w:ascii="Times New Roman" w:cs="Times New Roman" w:hAnsi="Times New Roman"/>
                <w:sz w:val="20"/>
                <w:szCs w:val="20"/>
              </w:rPr>
            </w:pPr>
            <w:r>
              <w:rPr>
                <w:rFonts w:ascii="Times New Roman" w:cs="Times New Roman" w:hAnsi="Times New Roman"/>
                <w:b/>
                <w:bCs/>
                <w:iCs/>
                <w:sz w:val="20"/>
                <w:szCs w:val="20"/>
              </w:rPr>
              <w:t xml:space="preserve">AIC </w:t>
            </w:r>
          </w:p>
        </w:tc>
      </w:tr>
      <w:tr>
        <w:tblPrEx/>
        <w:trPr/>
        <w:tc>
          <w:tcPr>
            <w:tcW w:w="1980" w:type="dxa"/>
            <w:tcBorders>
              <w:top w:val="single" w:sz="12" w:space="0" w:color="auto"/>
              <w:left w:val="none" w:sz="0" w:space="0" w:color="auto"/>
              <w:bottom w:val="none" w:sz="0" w:space="0" w:color="auto"/>
              <w:right w:val="none" w:sz="0" w:space="0" w:color="auto"/>
            </w:tcBorders>
            <w:tcFitText w:val="false"/>
          </w:tcPr>
          <w:p>
            <w:pPr>
              <w:pStyle w:val="style0"/>
              <w:ind w:firstLine="270" w:left="-270"/>
              <w:rPr>
                <w:sz w:val="20"/>
                <w:szCs w:val="20"/>
              </w:rPr>
            </w:pPr>
            <w:r>
              <w:rPr>
                <w:sz w:val="20"/>
                <w:szCs w:val="20"/>
              </w:rPr>
              <w:t>Exponential</w:t>
            </w:r>
          </w:p>
        </w:tc>
        <w:tc>
          <w:tcPr>
            <w:tcW w:w="3060" w:type="dxa"/>
            <w:tcBorders>
              <w:top w:val="single" w:sz="12" w:space="0" w:color="auto"/>
              <w:left w:val="none" w:sz="0" w:space="0" w:color="auto"/>
              <w:bottom w:val="none" w:sz="0" w:space="0" w:color="auto"/>
              <w:right w:val="none" w:sz="0" w:space="0" w:color="auto"/>
            </w:tcBorders>
            <w:shd w:val="clear" w:color="auto" w:fill="ffffff"/>
            <w:tcFitText w:val="false"/>
          </w:tcPr>
          <w:p>
            <w:pPr>
              <w:pStyle w:val="style0"/>
              <w:ind w:firstLine="270" w:left="-270"/>
              <w:rPr>
                <w:sz w:val="20"/>
                <w:szCs w:val="20"/>
              </w:rPr>
            </w:pPr>
            <w:r>
              <w:rPr>
                <w:sz w:val="20"/>
                <w:szCs w:val="20"/>
              </w:rPr>
              <w:t>-865.9</w:t>
            </w:r>
          </w:p>
        </w:tc>
        <w:tc>
          <w:tcPr>
            <w:tcW w:w="1440" w:type="dxa"/>
            <w:tcBorders>
              <w:top w:val="single" w:sz="12" w:space="0" w:color="auto"/>
              <w:left w:val="none" w:sz="0" w:space="0" w:color="auto"/>
              <w:bottom w:val="none" w:sz="0" w:space="0" w:color="auto"/>
            </w:tcBorders>
            <w:shd w:val="clear" w:color="auto" w:fill="ffffff"/>
            <w:tcFitText w:val="false"/>
          </w:tcPr>
          <w:p>
            <w:pPr>
              <w:pStyle w:val="style0"/>
              <w:ind w:firstLine="270" w:left="-270"/>
              <w:rPr>
                <w:sz w:val="20"/>
                <w:szCs w:val="20"/>
              </w:rPr>
            </w:pPr>
            <w:r>
              <w:rPr>
                <w:sz w:val="20"/>
                <w:szCs w:val="20"/>
              </w:rPr>
              <w:t>1759.879</w:t>
            </w:r>
          </w:p>
        </w:tc>
      </w:tr>
      <w:tr>
        <w:tblPrEx/>
        <w:trPr/>
        <w:tc>
          <w:tcPr>
            <w:tcW w:w="1980" w:type="dxa"/>
            <w:tcBorders>
              <w:left w:val="none" w:sz="0" w:space="0" w:color="auto"/>
              <w:bottom w:val="none" w:sz="0" w:space="0" w:color="auto"/>
              <w:right w:val="none" w:sz="0" w:space="0" w:color="auto"/>
            </w:tcBorders>
            <w:tcFitText w:val="false"/>
          </w:tcPr>
          <w:p>
            <w:pPr>
              <w:pStyle w:val="style0"/>
              <w:ind w:firstLine="270" w:left="-270"/>
              <w:rPr>
                <w:sz w:val="20"/>
                <w:szCs w:val="20"/>
              </w:rPr>
            </w:pPr>
            <w:r>
              <w:rPr>
                <w:sz w:val="20"/>
                <w:szCs w:val="20"/>
              </w:rPr>
              <w:t>Weibull</w:t>
            </w:r>
          </w:p>
        </w:tc>
        <w:tc>
          <w:tcPr>
            <w:tcW w:w="3060" w:type="dxa"/>
            <w:tcBorders/>
            <w:shd w:val="clear" w:color="auto" w:fill="ffffff"/>
            <w:tcFitText w:val="false"/>
          </w:tcPr>
          <w:p>
            <w:pPr>
              <w:pStyle w:val="style0"/>
              <w:ind w:firstLine="270" w:left="-270"/>
              <w:rPr>
                <w:sz w:val="20"/>
                <w:szCs w:val="20"/>
              </w:rPr>
            </w:pPr>
            <w:r>
              <w:rPr>
                <w:sz w:val="20"/>
                <w:szCs w:val="20"/>
              </w:rPr>
              <w:t>-827.1</w:t>
            </w:r>
          </w:p>
        </w:tc>
        <w:tc>
          <w:tcPr>
            <w:tcW w:w="1440" w:type="dxa"/>
            <w:tcBorders/>
            <w:shd w:val="clear" w:color="auto" w:fill="ffffff"/>
            <w:tcFitText w:val="false"/>
          </w:tcPr>
          <w:p>
            <w:pPr>
              <w:pStyle w:val="style0"/>
              <w:ind w:firstLine="270" w:left="-270"/>
              <w:rPr>
                <w:sz w:val="20"/>
                <w:szCs w:val="20"/>
              </w:rPr>
            </w:pPr>
            <w:r>
              <w:rPr>
                <w:sz w:val="20"/>
                <w:szCs w:val="20"/>
              </w:rPr>
              <w:t>1684.139</w:t>
            </w:r>
          </w:p>
        </w:tc>
      </w:tr>
      <w:tr>
        <w:tblPrEx/>
        <w:trPr/>
        <w:tc>
          <w:tcPr>
            <w:tcW w:w="1980" w:type="dxa"/>
            <w:tcBorders>
              <w:top w:val="none" w:sz="0" w:space="0" w:color="auto"/>
              <w:left w:val="none" w:sz="0" w:space="0" w:color="auto"/>
              <w:bottom w:val="none" w:sz="0" w:space="0" w:color="auto"/>
              <w:right w:val="none" w:sz="0" w:space="0" w:color="auto"/>
            </w:tcBorders>
            <w:tcFitText w:val="false"/>
          </w:tcPr>
          <w:p>
            <w:pPr>
              <w:pStyle w:val="style0"/>
              <w:ind w:firstLine="270" w:left="-270"/>
              <w:rPr>
                <w:sz w:val="20"/>
                <w:szCs w:val="20"/>
              </w:rPr>
            </w:pPr>
            <w:r>
              <w:rPr>
                <w:sz w:val="20"/>
                <w:szCs w:val="20"/>
              </w:rPr>
              <w:t>Log logistic</w:t>
            </w:r>
          </w:p>
        </w:tc>
        <w:tc>
          <w:tcPr>
            <w:tcW w:w="3060" w:type="dxa"/>
            <w:tcBorders>
              <w:top w:val="none" w:sz="0" w:space="0" w:color="auto"/>
              <w:left w:val="none" w:sz="0" w:space="0" w:color="auto"/>
              <w:bottom w:val="none" w:sz="0" w:space="0" w:color="auto"/>
              <w:right w:val="none" w:sz="0" w:space="0" w:color="auto"/>
            </w:tcBorders>
            <w:shd w:val="clear" w:color="auto" w:fill="ffffff"/>
            <w:tcFitText w:val="false"/>
          </w:tcPr>
          <w:p>
            <w:pPr>
              <w:pStyle w:val="style0"/>
              <w:ind w:firstLine="270" w:left="-270"/>
              <w:rPr>
                <w:sz w:val="20"/>
                <w:szCs w:val="20"/>
              </w:rPr>
            </w:pPr>
            <w:r>
              <w:rPr>
                <w:sz w:val="20"/>
                <w:szCs w:val="20"/>
              </w:rPr>
              <w:t>-828.6</w:t>
            </w:r>
          </w:p>
        </w:tc>
        <w:tc>
          <w:tcPr>
            <w:tcW w:w="1440" w:type="dxa"/>
            <w:tcBorders>
              <w:top w:val="none" w:sz="0" w:space="0" w:color="auto"/>
              <w:left w:val="none" w:sz="0" w:space="0" w:color="auto"/>
              <w:bottom w:val="none" w:sz="0" w:space="0" w:color="auto"/>
            </w:tcBorders>
            <w:shd w:val="clear" w:color="auto" w:fill="ffffff"/>
            <w:tcFitText w:val="false"/>
          </w:tcPr>
          <w:p>
            <w:pPr>
              <w:pStyle w:val="style0"/>
              <w:ind w:firstLine="270" w:left="-270"/>
              <w:rPr>
                <w:sz w:val="20"/>
                <w:szCs w:val="20"/>
              </w:rPr>
            </w:pPr>
            <w:r>
              <w:rPr>
                <w:sz w:val="20"/>
                <w:szCs w:val="20"/>
              </w:rPr>
              <w:t>1687.193</w:t>
            </w:r>
          </w:p>
        </w:tc>
      </w:tr>
      <w:tr>
        <w:tblPrEx/>
        <w:trPr/>
        <w:tc>
          <w:tcPr>
            <w:tcW w:w="1980" w:type="dxa"/>
            <w:tcBorders>
              <w:left w:val="none" w:sz="0" w:space="0" w:color="auto"/>
              <w:bottom w:val="single" w:sz="12" w:space="0" w:color="auto"/>
              <w:right w:val="none" w:sz="0" w:space="0" w:color="auto"/>
            </w:tcBorders>
            <w:tcFitText w:val="false"/>
          </w:tcPr>
          <w:p>
            <w:pPr>
              <w:pStyle w:val="style0"/>
              <w:ind w:firstLine="270" w:left="-270"/>
              <w:rPr>
                <w:sz w:val="20"/>
                <w:szCs w:val="20"/>
              </w:rPr>
            </w:pPr>
            <w:r>
              <w:rPr>
                <w:sz w:val="20"/>
                <w:szCs w:val="20"/>
              </w:rPr>
              <w:t>Lognormal</w:t>
            </w:r>
          </w:p>
        </w:tc>
        <w:tc>
          <w:tcPr>
            <w:tcW w:w="3060" w:type="dxa"/>
            <w:tcBorders>
              <w:bottom w:val="single" w:sz="12" w:space="0" w:color="auto"/>
            </w:tcBorders>
            <w:shd w:val="clear" w:color="auto" w:fill="ffffff"/>
            <w:tcFitText w:val="false"/>
          </w:tcPr>
          <w:p>
            <w:pPr>
              <w:pStyle w:val="style0"/>
              <w:ind w:firstLine="270" w:left="-270"/>
              <w:rPr>
                <w:sz w:val="20"/>
                <w:szCs w:val="20"/>
              </w:rPr>
            </w:pPr>
            <w:r>
              <w:rPr>
                <w:sz w:val="20"/>
                <w:szCs w:val="20"/>
              </w:rPr>
              <w:t>-840.8</w:t>
            </w:r>
          </w:p>
        </w:tc>
        <w:tc>
          <w:tcPr>
            <w:tcW w:w="1440" w:type="dxa"/>
            <w:tcBorders>
              <w:bottom w:val="single" w:sz="12" w:space="0" w:color="auto"/>
            </w:tcBorders>
            <w:shd w:val="clear" w:color="auto" w:fill="ffffff"/>
            <w:tcFitText w:val="false"/>
          </w:tcPr>
          <w:p>
            <w:pPr>
              <w:pStyle w:val="style0"/>
              <w:ind w:firstLine="270" w:left="-270"/>
              <w:rPr>
                <w:sz w:val="20"/>
                <w:szCs w:val="20"/>
              </w:rPr>
            </w:pPr>
            <w:r>
              <w:rPr>
                <w:sz w:val="20"/>
                <w:szCs w:val="20"/>
              </w:rPr>
              <w:t>1711.652</w:t>
            </w:r>
          </w:p>
        </w:tc>
      </w:tr>
    </w:tbl>
    <w:p>
      <w:pPr>
        <w:pStyle w:val="style0"/>
        <w:autoSpaceDE w:val="false"/>
        <w:autoSpaceDN w:val="false"/>
        <w:adjustRightInd w:val="false"/>
        <w:spacing w:after="0" w:lineRule="auto" w:line="240"/>
        <w:ind w:firstLine="270" w:left="-270"/>
        <w:rPr>
          <w:rFonts w:ascii="Times New Roman" w:cs="Times New Roman" w:hAnsi="Times New Roman"/>
          <w:i/>
          <w:sz w:val="20"/>
          <w:szCs w:val="20"/>
        </w:rPr>
      </w:pPr>
      <w:r>
        <w:rPr>
          <w:i/>
          <w:iCs/>
          <w:sz w:val="20"/>
          <w:szCs w:val="20"/>
        </w:rPr>
        <w:t xml:space="preserve">Source: </w:t>
      </w:r>
      <w:r>
        <w:rPr>
          <w:rFonts w:ascii="Times New Roman" w:cs="Times New Roman" w:hAnsi="Times New Roman"/>
          <w:i/>
          <w:sz w:val="20"/>
          <w:szCs w:val="20"/>
        </w:rPr>
        <w:t xml:space="preserve">Hossana </w:t>
      </w:r>
      <w:r>
        <w:rPr>
          <w:rFonts w:ascii="Times New Roman" w:cs="Times New Roman" w:hAnsi="Times New Roman"/>
          <w:bCs/>
          <w:i/>
          <w:sz w:val="20"/>
          <w:szCs w:val="20"/>
        </w:rPr>
        <w:t>Queen Elleni Mohamad Memorial Hospital, SNNPR, Ethiopia;</w:t>
      </w:r>
      <w:r>
        <w:rPr>
          <w:rFonts w:ascii="Times New Roman" w:cs="Times New Roman" w:hAnsi="Times New Roman"/>
          <w:i/>
          <w:sz w:val="20"/>
          <w:szCs w:val="20"/>
        </w:rPr>
        <w:t xml:space="preserve"> from 1</w:t>
      </w:r>
      <w:r>
        <w:rPr>
          <w:rFonts w:ascii="Times New Roman" w:cs="Times New Roman" w:hAnsi="Times New Roman"/>
          <w:i/>
          <w:sz w:val="20"/>
          <w:szCs w:val="20"/>
          <w:vertAlign w:val="superscript"/>
        </w:rPr>
        <w:t>st</w:t>
      </w:r>
      <w:r>
        <w:rPr>
          <w:rFonts w:ascii="Times New Roman" w:cs="Times New Roman" w:hAnsi="Times New Roman"/>
          <w:i/>
          <w:sz w:val="20"/>
          <w:szCs w:val="20"/>
        </w:rPr>
        <w:t xml:space="preserve"> February 2011 to 1</w:t>
      </w:r>
      <w:r>
        <w:rPr>
          <w:rFonts w:ascii="Times New Roman" w:cs="Times New Roman" w:hAnsi="Times New Roman"/>
          <w:i/>
          <w:sz w:val="20"/>
          <w:szCs w:val="20"/>
          <w:vertAlign w:val="superscript"/>
        </w:rPr>
        <w:t>st</w:t>
      </w:r>
      <w:r>
        <w:rPr>
          <w:rFonts w:ascii="Times New Roman" w:cs="Times New Roman" w:hAnsi="Times New Roman"/>
          <w:i/>
          <w:sz w:val="20"/>
          <w:szCs w:val="20"/>
        </w:rPr>
        <w:t>January 2016</w:t>
      </w:r>
    </w:p>
    <w:p>
      <w:pPr>
        <w:pStyle w:val="style0"/>
        <w:autoSpaceDE w:val="false"/>
        <w:autoSpaceDN w:val="false"/>
        <w:adjustRightInd w:val="false"/>
        <w:spacing w:after="0" w:lineRule="auto" w:line="240"/>
        <w:ind w:firstLine="270" w:left="-270"/>
        <w:rPr>
          <w:b/>
          <w:bCs/>
          <w:i/>
          <w:sz w:val="20"/>
          <w:szCs w:val="20"/>
        </w:rPr>
      </w:pPr>
      <w:r>
        <w:rPr>
          <w:rFonts w:ascii="Times New Roman" w:cs="Times New Roman" w:hAnsi="Times New Roman" w:eastAsiaTheme="minorHAnsi"/>
          <w:i/>
          <w:iCs/>
          <w:sz w:val="20"/>
          <w:szCs w:val="20"/>
        </w:rPr>
        <w:t>AIC=Akaike’s information criteria</w:t>
      </w: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p>
    <w:bookmarkStart w:id="422" w:name="_Toc450285346"/>
    <w:bookmarkStart w:id="423" w:name="_Toc450288371"/>
    <w:bookmarkStart w:id="424" w:name="_Toc450292820"/>
    <w:bookmarkStart w:id="425" w:name="_Toc450294547"/>
    <w:bookmarkStart w:id="426" w:name="_Toc450294930"/>
    <w:bookmarkStart w:id="427" w:name="_Toc450724186"/>
    <w:bookmarkStart w:id="428" w:name="_Toc450724431"/>
    <w:bookmarkStart w:id="429" w:name="_Toc451494744"/>
    <w:bookmarkStart w:id="430" w:name="_Toc451496338"/>
    <w:bookmarkStart w:id="431" w:name="_Toc451496841"/>
    <w:bookmarkStart w:id="432" w:name="_Toc451522889"/>
    <w:bookmarkStart w:id="433" w:name="_Toc451742127"/>
    <w:bookmarkStart w:id="434" w:name="_Toc451742868"/>
    <w:bookmarkStart w:id="435" w:name="_Toc452191127"/>
    <w:bookmarkStart w:id="436" w:name="_Toc452191676"/>
    <w:bookmarkStart w:id="437" w:name="_Toc452195097"/>
    <w:p>
      <w:pPr>
        <w:pStyle w:val="style3"/>
        <w:spacing w:after="240" w:lineRule="auto" w:line="240"/>
        <w:ind w:firstLine="270" w:left="-270"/>
        <w:rPr>
          <w:rFonts w:cs="Times New Roman"/>
          <w:sz w:val="20"/>
          <w:szCs w:val="20"/>
        </w:rPr>
      </w:pPr>
      <w:r>
        <w:rPr>
          <w:rFonts w:cs="Times New Roman"/>
          <w:bCs w:val="false"/>
          <w:sz w:val="20"/>
          <w:szCs w:val="20"/>
        </w:rPr>
        <w:t xml:space="preserve"> Analysis of Weibull Regression Model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Fonts w:cs="Times New Roman"/>
          <w:sz w:val="20"/>
          <w:szCs w:val="20"/>
        </w:rPr>
        <w:tab/>
      </w:r>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The result of relationship between covariates and survival probability of HIV infected patients modeled by Weibull regression m</w:t>
      </w:r>
      <w:r>
        <w:rPr>
          <w:rFonts w:ascii="Times New Roman" w:cs="Times New Roman" w:hAnsi="Times New Roman"/>
          <w:sz w:val="20"/>
          <w:szCs w:val="20"/>
        </w:rPr>
        <w:t>odel are presented in Table 4.10</w:t>
      </w:r>
      <w:r>
        <w:rPr>
          <w:rFonts w:ascii="Times New Roman" w:cs="Times New Roman" w:hAnsi="Times New Roman"/>
          <w:sz w:val="20"/>
          <w:szCs w:val="20"/>
        </w:rPr>
        <w:t>. It indicate the parameter estimates of coefficients for the covariates in the final Weibull regression model along with the associated significance level, hazard ratio with corresponding standard error and 95% confidence interval for the hazard ratio. Survival time of HIV infected pat</w:t>
      </w:r>
      <w:r>
        <w:rPr>
          <w:rFonts w:ascii="Times New Roman" w:cs="Times New Roman" w:hAnsi="Times New Roman"/>
          <w:sz w:val="20"/>
          <w:szCs w:val="20"/>
        </w:rPr>
        <w:t>ients were significantly associated</w:t>
      </w:r>
      <w:r>
        <w:rPr>
          <w:rFonts w:ascii="Times New Roman" w:cs="Times New Roman" w:hAnsi="Times New Roman"/>
          <w:sz w:val="20"/>
          <w:szCs w:val="20"/>
        </w:rPr>
        <w:t xml:space="preserve"> with baseline weight, </w:t>
      </w:r>
      <w:r>
        <w:rPr>
          <w:rFonts w:ascii="Times New Roman" w:cs="Times New Roman" w:hAnsi="Times New Roman"/>
          <w:sz w:val="20"/>
          <w:szCs w:val="20"/>
        </w:rPr>
        <w:t>WHO clinical stage, education level, ART adherence, baseline CD4, substance use and TB co-infection as can be seen from the Table 4.1</w:t>
      </w:r>
      <w:r>
        <w:rPr>
          <w:rFonts w:ascii="Times New Roman" w:cs="Times New Roman" w:hAnsi="Times New Roman"/>
          <w:sz w:val="20"/>
          <w:szCs w:val="20"/>
        </w:rPr>
        <w:t>0</w:t>
      </w:r>
      <w:r>
        <w:rPr>
          <w:rFonts w:ascii="Times New Roman" w:cs="Times New Roman" w:hAnsi="Times New Roman"/>
          <w:sz w:val="20"/>
          <w:szCs w:val="20"/>
        </w:rPr>
        <w:t>.</w:t>
      </w:r>
    </w:p>
    <w:bookmarkStart w:id="438" w:name="_Toc451480417"/>
    <w:bookmarkStart w:id="439" w:name="_Toc451493944"/>
    <w:bookmarkStart w:id="440" w:name="_Toc451494745"/>
    <w:bookmarkStart w:id="441" w:name="_Toc451496339"/>
    <w:bookmarkStart w:id="442" w:name="_Toc451496842"/>
    <w:bookmarkStart w:id="443" w:name="_Toc451522890"/>
    <w:bookmarkStart w:id="444" w:name="_Toc451742128"/>
    <w:bookmarkStart w:id="445" w:name="_Toc451742869"/>
    <w:bookmarkStart w:id="446" w:name="_Toc452191128"/>
    <w:bookmarkStart w:id="447" w:name="_Toc452191677"/>
    <w:bookmarkStart w:id="448" w:name="_Toc452195098"/>
    <w:bookmarkStart w:id="449" w:name="_Toc450288372"/>
    <w:bookmarkStart w:id="450" w:name="_Toc450291602"/>
    <w:bookmarkStart w:id="451" w:name="_Toc450292821"/>
    <w:bookmarkStart w:id="452" w:name="_Toc450294548"/>
    <w:bookmarkStart w:id="453" w:name="_Toc450294931"/>
    <w:bookmarkStart w:id="454" w:name="_Toc450519393"/>
    <w:bookmarkStart w:id="455" w:name="_Toc450525954"/>
    <w:bookmarkStart w:id="456" w:name="_Toc450724187"/>
    <w:bookmarkStart w:id="457" w:name="_Toc450724432"/>
    <w:p>
      <w:pPr>
        <w:pStyle w:val="style1"/>
        <w:spacing w:lineRule="auto" w:line="240"/>
        <w:ind w:firstLine="270" w:left="-270"/>
        <w:rPr>
          <w:rFonts w:ascii="Times New Roman" w:cs="Times New Roman" w:hAnsi="Times New Roman"/>
          <w:b w:val="false"/>
          <w:color w:val="auto"/>
          <w:sz w:val="20"/>
          <w:szCs w:val="20"/>
        </w:rPr>
      </w:pPr>
      <w:r>
        <w:rPr>
          <w:rFonts w:ascii="Times New Roman" w:cs="Times New Roman" w:hAnsi="Times New Roman"/>
          <w:color w:val="auto"/>
          <w:sz w:val="20"/>
          <w:szCs w:val="20"/>
        </w:rPr>
        <w:t>Table 4.10</w:t>
      </w:r>
      <w:r>
        <w:rPr>
          <w:rFonts w:ascii="Times New Roman" w:cs="Times New Roman" w:hAnsi="Times New Roman"/>
          <w:color w:val="auto"/>
          <w:sz w:val="20"/>
          <w:szCs w:val="20"/>
        </w:rPr>
        <w:t>:</w:t>
      </w:r>
      <w:r>
        <w:rPr>
          <w:rFonts w:ascii="Times New Roman" w:cs="Times New Roman" w:hAnsi="Times New Roman"/>
          <w:b w:val="false"/>
          <w:color w:val="auto"/>
          <w:sz w:val="20"/>
          <w:szCs w:val="20"/>
        </w:rPr>
        <w:t xml:space="preserve"> S</w:t>
      </w:r>
      <w:r>
        <w:rPr>
          <w:rFonts w:ascii="Times New Roman" w:cs="Times New Roman" w:hAnsi="Times New Roman"/>
          <w:b w:val="false"/>
          <w:color w:val="auto"/>
          <w:sz w:val="20"/>
          <w:szCs w:val="20"/>
        </w:rPr>
        <w:t xml:space="preserve">ummary result of Parameter Estimates, Standard Errors and the 95% CI of the </w:t>
      </w:r>
      <w:r>
        <w:rPr>
          <w:rFonts w:ascii="Times New Roman" w:cs="Times New Roman" w:hAnsi="Times New Roman"/>
          <w:b w:val="false"/>
          <w:color w:val="auto"/>
          <w:sz w:val="20"/>
          <w:szCs w:val="20"/>
        </w:rPr>
        <w:t>final multivariate W</w:t>
      </w:r>
      <w:r>
        <w:rPr>
          <w:rFonts w:ascii="Times New Roman" w:cs="Times New Roman" w:hAnsi="Times New Roman"/>
          <w:b w:val="false"/>
          <w:color w:val="auto"/>
          <w:sz w:val="20"/>
          <w:szCs w:val="20"/>
        </w:rPr>
        <w:t>eibull</w:t>
      </w:r>
      <w:r>
        <w:rPr>
          <w:rFonts w:ascii="Times New Roman" w:cs="Times New Roman" w:hAnsi="Times New Roman"/>
          <w:b w:val="false"/>
          <w:color w:val="auto"/>
          <w:sz w:val="20"/>
          <w:szCs w:val="20"/>
        </w:rPr>
        <w:t xml:space="preserve"> </w:t>
      </w:r>
      <w:r>
        <w:rPr>
          <w:rFonts w:ascii="Times New Roman" w:cs="Times New Roman" w:hAnsi="Times New Roman"/>
          <w:b w:val="false"/>
          <w:color w:val="auto"/>
          <w:sz w:val="20"/>
          <w:szCs w:val="20"/>
        </w:rPr>
        <w:t>regression model Analysis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tbl>
      <w:tblPr>
        <w:tblW w:w="9810" w:type="dxa"/>
        <w:jc w:val="left"/>
        <w:tblInd w:w="0" w:type="auto"/>
        <w:tblLayout w:type="fixed"/>
        <w:tblCellMar>
          <w:left w:w="0" w:type="dxa"/>
          <w:right w:w="0" w:type="dxa"/>
        </w:tblCellMar>
        <w:tblLook w:firstRow="0" w:lastRow="0" w:firstColumn="0" w:lastColumn="0" w:noHBand="0" w:noVBand="1"/>
      </w:tblPr>
      <w:tblGrid>
        <w:gridCol w:w="2700"/>
        <w:gridCol w:w="1170"/>
        <w:gridCol w:w="1080"/>
        <w:gridCol w:w="720"/>
        <w:gridCol w:w="1170"/>
        <w:gridCol w:w="990"/>
        <w:gridCol w:w="1260"/>
        <w:gridCol w:w="720"/>
      </w:tblGrid>
      <w:tr>
        <w:trPr>
          <w:cantSplit/>
          <w:jc w:val="left"/>
        </w:trPr>
        <w:tc>
          <w:tcPr>
            <w:tcW w:w="2700" w:type="dxa"/>
            <w:tcBorders>
              <w:top w:val="single" w:sz="12" w:space="0" w:color="auto"/>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sz w:val="20"/>
                <w:szCs w:val="20"/>
              </w:rPr>
              <w:t>Covariates</w:t>
            </w:r>
          </w:p>
        </w:tc>
        <w:tc>
          <w:tcPr>
            <w:tcW w:w="1170" w:type="dxa"/>
            <w:tcBorders>
              <w:top w:val="single" w:sz="12" w:space="0" w:color="auto"/>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r>
              <w:rPr>
                <w:rFonts w:ascii="Times New Roman" w:cs="Times New Roman" w:hAnsi="Times New Roman"/>
                <w:sz w:val="20"/>
                <w:szCs w:val="20"/>
              </w:rPr>
              <w:t>Parameter</w:t>
            </w: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Estimate</w:t>
            </w:r>
          </w:p>
        </w:tc>
        <w:tc>
          <w:tcPr>
            <w:tcW w:w="1080" w:type="dxa"/>
            <w:tcBorders>
              <w:top w:val="single" w:sz="12" w:space="0" w:color="auto"/>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r>
              <w:rPr>
                <w:rFonts w:ascii="Times New Roman" w:cs="Times New Roman" w:hAnsi="Times New Roman"/>
                <w:sz w:val="20"/>
                <w:szCs w:val="20"/>
              </w:rPr>
              <w:t>S</w:t>
            </w:r>
            <w:r>
              <w:rPr>
                <w:rFonts w:ascii="Times New Roman" w:cs="Times New Roman" w:hAnsi="Times New Roman"/>
                <w:sz w:val="20"/>
                <w:szCs w:val="20"/>
              </w:rPr>
              <w:t>E</w:t>
            </w:r>
          </w:p>
        </w:tc>
        <w:tc>
          <w:tcPr>
            <w:tcW w:w="720" w:type="dxa"/>
            <w:tcBorders>
              <w:top w:val="single" w:sz="12" w:space="0" w:color="auto"/>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Z</w:t>
            </w:r>
          </w:p>
        </w:tc>
        <w:tc>
          <w:tcPr>
            <w:tcW w:w="1170" w:type="dxa"/>
            <w:tcBorders>
              <w:top w:val="single" w:sz="12" w:space="0" w:color="auto"/>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P-Value</w:t>
            </w:r>
          </w:p>
        </w:tc>
        <w:tc>
          <w:tcPr>
            <w:tcW w:w="990" w:type="dxa"/>
            <w:tcBorders>
              <w:top w:val="single" w:sz="12" w:space="0" w:color="auto"/>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r>
              <w:rPr>
                <w:rFonts w:ascii="Times New Roman" w:cs="Times New Roman" w:hAnsi="Times New Roman"/>
                <w:sz w:val="20"/>
                <w:szCs w:val="20"/>
              </w:rPr>
              <w:t>Hazard</w:t>
            </w: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Ratio</w:t>
            </w:r>
          </w:p>
        </w:tc>
        <w:tc>
          <w:tcPr>
            <w:tcW w:w="1980" w:type="dxa"/>
            <w:gridSpan w:val="2"/>
            <w:tcBorders>
              <w:top w:val="single" w:sz="12" w:space="0" w:color="auto"/>
              <w:bottom w:val="single" w:sz="18" w:space="0" w:color="auto"/>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r>
              <w:rPr>
                <w:rFonts w:ascii="Times New Roman" w:cs="Times New Roman" w:hAnsi="Times New Roman"/>
                <w:sz w:val="20"/>
                <w:szCs w:val="20"/>
              </w:rPr>
              <w:t xml:space="preserve">95.0% CI for </w:t>
            </w:r>
          </w:p>
          <w:p>
            <w:pPr>
              <w:pStyle w:val="style0"/>
              <w:autoSpaceDE w:val="false"/>
              <w:autoSpaceDN w:val="false"/>
              <w:adjustRightInd w:val="false"/>
              <w:spacing w:after="0" w:lineRule="auto" w:line="240"/>
              <w:ind w:firstLine="270" w:left="-270"/>
              <w:jc w:val="center"/>
              <w:rPr>
                <w:rFonts w:ascii="Times New Roman" w:cs="Times New Roman" w:hAnsi="Times New Roman"/>
                <w:color w:val="000000"/>
                <w:sz w:val="20"/>
                <w:szCs w:val="20"/>
              </w:rPr>
            </w:pPr>
            <w:r>
              <w:rPr>
                <w:rFonts w:ascii="Times New Roman" w:cs="Times New Roman" w:hAnsi="Times New Roman"/>
                <w:sz w:val="20"/>
                <w:szCs w:val="20"/>
              </w:rPr>
              <w:t xml:space="preserve"> t</w:t>
            </w:r>
            <w:r>
              <w:rPr>
                <w:rFonts w:ascii="Times New Roman" w:cs="Times New Roman" w:hAnsi="Times New Roman"/>
                <w:sz w:val="20"/>
                <w:szCs w:val="20"/>
              </w:rPr>
              <w:t>he</w:t>
            </w:r>
            <w:r>
              <w:rPr>
                <w:rFonts w:ascii="Times New Roman" w:cs="Times New Roman" w:hAnsi="Times New Roman"/>
                <w:sz w:val="20"/>
                <w:szCs w:val="20"/>
              </w:rPr>
              <w:t xml:space="preserve"> H</w:t>
            </w:r>
            <w:r>
              <w:rPr>
                <w:rFonts w:ascii="Times New Roman" w:cs="Times New Roman" w:hAnsi="Times New Roman"/>
                <w:sz w:val="20"/>
                <w:szCs w:val="20"/>
              </w:rPr>
              <w:t xml:space="preserve"> R</w:t>
            </w:r>
          </w:p>
        </w:tc>
      </w:tr>
      <w:tr>
        <w:tblPrEx/>
        <w:trPr>
          <w:cantSplit/>
          <w:jc w:val="left"/>
        </w:trPr>
        <w:tc>
          <w:tcPr>
            <w:tcW w:w="270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Baseline weight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50kgms      </w:t>
            </w:r>
            <w:r>
              <w:rPr>
                <w:rFonts w:ascii="Times New Roman" w:cs="Times New Roman" w:hAnsi="Times New Roman"/>
                <w:color w:val="000000"/>
                <w:sz w:val="20"/>
                <w:szCs w:val="20"/>
              </w:rPr>
              <w:t>(</w:t>
            </w:r>
            <w:r>
              <w:rPr>
                <w:rFonts w:ascii="Times New Roman" w:cs="Times New Roman" w:hAnsi="Times New Roman"/>
                <w:color w:val="000000"/>
                <w:sz w:val="20"/>
                <w:szCs w:val="20"/>
              </w:rPr>
              <w:t>Ref</w:t>
            </w:r>
            <w:r>
              <w:rPr>
                <w:rFonts w:ascii="Times New Roman" w:cs="Times New Roman" w:hAnsi="Times New Roman"/>
                <w:color w:val="000000"/>
                <w:sz w:val="20"/>
                <w:szCs w:val="20"/>
              </w:rPr>
              <w:t>.)</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&lt; 50kgms</w:t>
            </w:r>
          </w:p>
        </w:tc>
        <w:tc>
          <w:tcPr>
            <w:tcW w:w="117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0.21</w:t>
            </w:r>
            <w:r>
              <w:rPr>
                <w:rFonts w:ascii="Times New Roman" w:cs="Times New Roman" w:hAnsi="Times New Roman"/>
                <w:color w:val="000000"/>
                <w:sz w:val="20"/>
                <w:szCs w:val="20"/>
              </w:rPr>
              <w:t>5</w:t>
            </w:r>
          </w:p>
        </w:tc>
        <w:tc>
          <w:tcPr>
            <w:tcW w:w="108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0.084</w:t>
            </w:r>
          </w:p>
        </w:tc>
        <w:tc>
          <w:tcPr>
            <w:tcW w:w="72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2.511</w:t>
            </w:r>
          </w:p>
        </w:tc>
        <w:tc>
          <w:tcPr>
            <w:tcW w:w="117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1.10e-02*</w:t>
            </w:r>
          </w:p>
        </w:tc>
        <w:tc>
          <w:tcPr>
            <w:tcW w:w="99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1.2</w:t>
            </w:r>
            <w:r>
              <w:rPr>
                <w:rFonts w:ascii="Times New Roman" w:cs="Times New Roman" w:hAnsi="Times New Roman"/>
                <w:color w:val="000000"/>
                <w:sz w:val="20"/>
                <w:szCs w:val="20"/>
              </w:rPr>
              <w:t>4</w:t>
            </w:r>
          </w:p>
        </w:tc>
        <w:tc>
          <w:tcPr>
            <w:tcW w:w="126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1.048</w:t>
            </w:r>
            <w:r>
              <w:rPr>
                <w:rFonts w:ascii="Times New Roman" w:cs="Times New Roman" w:hAnsi="Times New Roman"/>
                <w:color w:val="000000"/>
                <w:sz w:val="20"/>
                <w:szCs w:val="20"/>
              </w:rPr>
              <w:t>,</w:t>
            </w:r>
          </w:p>
        </w:tc>
        <w:tc>
          <w:tcPr>
            <w:tcW w:w="720" w:type="dxa"/>
            <w:tcBorders>
              <w:top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1.461</w:t>
            </w:r>
            <w:r>
              <w:rPr>
                <w:rFonts w:ascii="Times New Roman" w:cs="Times New Roman" w:hAnsi="Times New Roman"/>
                <w:color w:val="000000"/>
                <w:sz w:val="20"/>
                <w:szCs w:val="20"/>
              </w:rPr>
              <w:t>]</w:t>
            </w:r>
          </w:p>
        </w:tc>
      </w:tr>
      <w:tr>
        <w:tblPrEx/>
        <w:trPr>
          <w:cantSpli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Education level</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no education   </w:t>
            </w:r>
            <w:r>
              <w:rPr>
                <w:rFonts w:ascii="Times New Roman" w:cs="Times New Roman" w:hAnsi="Times New Roman"/>
                <w:color w:val="000000"/>
                <w:sz w:val="20"/>
                <w:szCs w:val="20"/>
              </w:rPr>
              <w:t>(</w:t>
            </w:r>
            <w:r>
              <w:rPr>
                <w:rFonts w:ascii="Times New Roman" w:cs="Times New Roman" w:hAnsi="Times New Roman"/>
                <w:color w:val="000000"/>
                <w:sz w:val="20"/>
                <w:szCs w:val="20"/>
              </w:rPr>
              <w:t xml:space="preserve"> Ref</w:t>
            </w:r>
            <w:r>
              <w:rPr>
                <w:rFonts w:ascii="Times New Roman" w:cs="Times New Roman" w:hAnsi="Times New Roman"/>
                <w:color w:val="000000"/>
                <w:sz w:val="20"/>
                <w:szCs w:val="20"/>
              </w:rPr>
              <w:t>.)</w:t>
            </w:r>
          </w:p>
        </w:tc>
        <w:tc>
          <w:tcPr>
            <w:tcW w:w="1170" w:type="dxa"/>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p>
        </w:tc>
        <w:tc>
          <w:tcPr>
            <w:tcW w:w="1080" w:type="dxa"/>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90" w:type="dxa"/>
            <w:tcBorders/>
            <w:shd w:val="clear" w:color="auto" w:fill="ffffff"/>
            <w:tcFitText w:val="false"/>
          </w:tcPr>
          <w:p>
            <w:pPr>
              <w:pStyle w:val="style0"/>
              <w:autoSpaceDE w:val="false"/>
              <w:autoSpaceDN w:val="false"/>
              <w:adjustRightInd w:val="false"/>
              <w:spacing w:after="0" w:lineRule="auto" w:line="240"/>
              <w:ind w:firstLine="270" w:left="-270"/>
              <w:jc w:val="center"/>
              <w:rPr>
                <w:rFonts w:ascii="Times New Roman" w:cs="Times New Roman" w:hAnsi="Times New Roman"/>
                <w:sz w:val="20"/>
                <w:szCs w:val="20"/>
              </w:rPr>
            </w:pPr>
          </w:p>
        </w:tc>
        <w:tc>
          <w:tcPr>
            <w:tcW w:w="1260" w:type="dxa"/>
            <w:tcBorders/>
            <w:shd w:val="clear" w:color="auto" w:fill="ffffff"/>
            <w:tcFitText w:val="false"/>
          </w:tcPr>
          <w:p>
            <w:pPr>
              <w:pStyle w:val="style0"/>
              <w:autoSpaceDE w:val="false"/>
              <w:autoSpaceDN w:val="false"/>
              <w:adjustRightInd w:val="false"/>
              <w:spacing w:after="0" w:lineRule="auto" w:line="240"/>
              <w:ind w:firstLine="270" w:left="-270"/>
              <w:jc w:val="right"/>
              <w:rPr>
                <w:rFonts w:ascii="Times New Roman" w:cs="Times New Roman" w:hAnsi="Times New Roman"/>
                <w:sz w:val="20"/>
                <w:szCs w:val="20"/>
              </w:rPr>
            </w:pPr>
          </w:p>
        </w:tc>
        <w:tc>
          <w:tcPr>
            <w:tcW w:w="720" w:type="dxa"/>
            <w:tcBorders/>
            <w:shd w:val="clear" w:color="auto" w:fill="ffffff"/>
            <w:tcFitText w:val="false"/>
          </w:tcPr>
          <w:p>
            <w:pPr>
              <w:pStyle w:val="style0"/>
              <w:autoSpaceDE w:val="false"/>
              <w:autoSpaceDN w:val="false"/>
              <w:adjustRightInd w:val="false"/>
              <w:spacing w:after="0" w:lineRule="auto" w:line="240"/>
              <w:ind w:firstLine="270" w:left="-270"/>
              <w:jc w:val="right"/>
              <w:rPr>
                <w:rFonts w:ascii="Times New Roman" w:cs="Times New Roman" w:hAnsi="Times New Roman"/>
                <w:sz w:val="20"/>
                <w:szCs w:val="20"/>
              </w:rPr>
            </w:pPr>
          </w:p>
        </w:tc>
      </w:tr>
      <w:tr>
        <w:tblPrEx/>
        <w:trPr>
          <w:cantSpli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Primary</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-0.230</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0.084</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-2.357</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1.63e-02*</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0.792</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0.619</w:t>
            </w:r>
            <w:r>
              <w:rPr>
                <w:rFonts w:ascii="Times New Roman" w:cs="Times New Roman" w:hAnsi="Times New Roman"/>
                <w:color w:val="000000"/>
                <w:sz w:val="20"/>
                <w:szCs w:val="20"/>
              </w:rPr>
              <w:t>,</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0.981</w:t>
            </w:r>
            <w:r>
              <w:rPr>
                <w:rFonts w:ascii="Times New Roman" w:cs="Times New Roman" w:hAnsi="Times New Roman"/>
                <w:color w:val="000000"/>
                <w:sz w:val="20"/>
                <w:szCs w:val="20"/>
              </w:rPr>
              <w:t>]</w:t>
            </w:r>
          </w:p>
        </w:tc>
      </w:tr>
      <w:tr>
        <w:tblPrEx/>
        <w:trPr>
          <w:cantSpli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secondary and above</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-0.463</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0.117</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-3.948</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8.62e-05*</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0.629</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w:t>
            </w:r>
            <w:r>
              <w:rPr>
                <w:rFonts w:ascii="Times New Roman" w:cs="Times New Roman" w:hAnsi="Times New Roman"/>
                <w:color w:val="000000"/>
                <w:sz w:val="20"/>
                <w:szCs w:val="20"/>
              </w:rPr>
              <w:t>0.402</w:t>
            </w:r>
            <w:r>
              <w:rPr>
                <w:rFonts w:ascii="Times New Roman" w:cs="Times New Roman" w:hAnsi="Times New Roman"/>
                <w:color w:val="000000"/>
                <w:sz w:val="20"/>
                <w:szCs w:val="20"/>
              </w:rPr>
              <w:t>,</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0.845</w:t>
            </w:r>
            <w:r>
              <w:rPr>
                <w:rFonts w:ascii="Times New Roman" w:cs="Times New Roman" w:hAnsi="Times New Roman"/>
                <w:color w:val="000000"/>
                <w:sz w:val="20"/>
                <w:szCs w:val="20"/>
              </w:rPr>
              <w:t>]</w:t>
            </w:r>
          </w:p>
        </w:tc>
      </w:tr>
      <w:tr>
        <w:tblPrEx/>
        <w:trPr>
          <w:cantSpli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ART Adherence</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Good</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-0.589</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0.084</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-2.240</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3.06e-02*</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0.554</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[0.389,</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0.716]</w:t>
            </w:r>
          </w:p>
        </w:tc>
      </w:tr>
      <w:tr>
        <w:tblPrEx/>
        <w:trPr>
          <w:cantSplit/>
          <w:trHeight w:val="126" w:hRule="atLeas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b/>
                <w:color w:val="000000"/>
                <w:sz w:val="20"/>
                <w:szCs w:val="20"/>
              </w:rPr>
              <w:t>WHO clinical stage</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tc>
      </w:tr>
      <w:tr>
        <w:tblPrEx/>
        <w:trPr>
          <w:cantSplit/>
          <w:trHeight w:val="184" w:hRule="atLeas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Stage I (Ref.)</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tc>
      </w:tr>
      <w:tr>
        <w:tblPrEx/>
        <w:trPr>
          <w:cantSplit/>
          <w:trHeight w:val="115" w:hRule="atLeas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stage II</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0.086</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0.122</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0.712</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5.04e-01</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1.090</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[0.844,</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1.366]</w:t>
            </w:r>
          </w:p>
        </w:tc>
      </w:tr>
      <w:tr>
        <w:tblPrEx/>
        <w:trPr>
          <w:cantSplit/>
          <w:trHeight w:val="172" w:hRule="atLeas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stage III</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0.237</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0.107</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2.207</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2.90e-02*</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1.267</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[1.064,</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1.476]</w:t>
            </w:r>
          </w:p>
        </w:tc>
      </w:tr>
      <w:tr>
        <w:tblPrEx/>
        <w:trPr>
          <w:cantSplit/>
          <w:trHeight w:val="196" w:hRule="atLeas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stage IV</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0.648</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0.170</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0.866</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3.86e-03*</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1.711</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[1.517,</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2.044]</w:t>
            </w:r>
          </w:p>
        </w:tc>
      </w:tr>
      <w:tr>
        <w:tblPrEx/>
        <w:trPr>
          <w:cantSpli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Base line CD4</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sz w:val="20"/>
                <w:szCs w:val="20"/>
              </w:rPr>
              <w:t xml:space="preserve"> 200 cells/</w:t>
            </w:r>
            <w:r>
              <w:rPr>
                <w:rFonts w:ascii="Cambria Math" w:cs="Times New Roman" w:eastAsia="TimesNewRoman" w:hAnsi="Cambria Math"/>
                <w:sz w:val="20"/>
                <w:szCs w:val="20"/>
              </w:rPr>
              <w:t>  </w:t>
            </w:r>
            <w:r>
              <w:rPr>
                <w:rFonts w:ascii="Times New Roman" w:cs="Times New Roman" w:hAnsi="Times New Roman"/>
                <w:sz w:val="20"/>
                <w:szCs w:val="20"/>
              </w:rPr>
              <w:t>l</w:t>
            </w:r>
            <w:r>
              <w:rPr>
                <w:rFonts w:ascii="Times New Roman" w:cs="Times New Roman" w:hAnsi="Times New Roman"/>
                <w:color w:val="000000"/>
                <w:sz w:val="20"/>
                <w:szCs w:val="20"/>
              </w:rPr>
              <w:t>(Ref.)</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sz w:val="20"/>
                <w:szCs w:val="20"/>
              </w:rPr>
              <w:t>200 cells/</w:t>
            </w:r>
            <w:r>
              <w:rPr>
                <w:rFonts w:ascii="Cambria Math" w:cs="Times New Roman" w:eastAsia="TimesNewRoman" w:hAnsi="Cambria Math"/>
                <w:sz w:val="20"/>
                <w:szCs w:val="20"/>
              </w:rPr>
              <w:t>  </w:t>
            </w:r>
            <w:r>
              <w:rPr>
                <w:rFonts w:ascii="Times New Roman" w:cs="Times New Roman" w:hAnsi="Times New Roman"/>
                <w:sz w:val="20"/>
                <w:szCs w:val="20"/>
              </w:rPr>
              <w:t>l</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0.289</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sz w:val="20"/>
                <w:szCs w:val="20"/>
              </w:rPr>
              <w:t>0.084</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2.234</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2.19e-02*</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1.335</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[1.170,</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1.499]</w:t>
            </w:r>
          </w:p>
        </w:tc>
      </w:tr>
      <w:tr>
        <w:tblPrEx/>
        <w:trPr>
          <w:cantSplit/>
          <w:jc w:val="left"/>
        </w:trPr>
        <w:tc>
          <w:tcPr>
            <w:tcW w:w="270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Substance use</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No   (Ref.)</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Yes      </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0.492</w:t>
            </w:r>
          </w:p>
        </w:tc>
        <w:tc>
          <w:tcPr>
            <w:tcW w:w="108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0.091</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3.196</w:t>
            </w:r>
          </w:p>
        </w:tc>
        <w:tc>
          <w:tcPr>
            <w:tcW w:w="117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1.29e-03*</w:t>
            </w:r>
          </w:p>
        </w:tc>
        <w:tc>
          <w:tcPr>
            <w:tcW w:w="99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1.636</w:t>
            </w:r>
          </w:p>
        </w:tc>
        <w:tc>
          <w:tcPr>
            <w:tcW w:w="126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[1.427,</w:t>
            </w:r>
          </w:p>
        </w:tc>
        <w:tc>
          <w:tcPr>
            <w:tcW w:w="720" w:type="dxa"/>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1.734]</w:t>
            </w:r>
          </w:p>
        </w:tc>
      </w:tr>
      <w:tr>
        <w:tblPrEx/>
        <w:trPr>
          <w:cantSplit/>
          <w:jc w:val="left"/>
        </w:trPr>
        <w:tc>
          <w:tcPr>
            <w:tcW w:w="270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rPr>
                <w:rFonts w:ascii="Times New Roman" w:cs="Times New Roman" w:hAnsi="Times New Roman"/>
                <w:b/>
                <w:color w:val="000000"/>
                <w:sz w:val="20"/>
                <w:szCs w:val="20"/>
              </w:rPr>
            </w:pPr>
            <w:r>
              <w:rPr>
                <w:rFonts w:ascii="Times New Roman" w:cs="Times New Roman" w:hAnsi="Times New Roman"/>
                <w:b/>
                <w:color w:val="000000"/>
                <w:sz w:val="20"/>
                <w:szCs w:val="20"/>
              </w:rPr>
              <w:t>TB co-infection</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 xml:space="preserve">     Not infected (Ref.)</w:t>
            </w:r>
          </w:p>
          <w:p>
            <w:pPr>
              <w:pStyle w:val="style0"/>
              <w:autoSpaceDE w:val="false"/>
              <w:autoSpaceDN w:val="false"/>
              <w:adjustRightInd w:val="false"/>
              <w:spacing w:after="0" w:lineRule="auto" w:line="240"/>
              <w:ind w:firstLine="270" w:left="-270" w:right="60"/>
              <w:rPr>
                <w:rFonts w:ascii="Times New Roman" w:cs="Times New Roman" w:hAnsi="Times New Roman"/>
                <w:color w:val="000000"/>
                <w:sz w:val="20"/>
                <w:szCs w:val="20"/>
              </w:rPr>
            </w:pPr>
            <w:r>
              <w:rPr>
                <w:rFonts w:ascii="Times New Roman" w:cs="Times New Roman" w:hAnsi="Times New Roman"/>
                <w:color w:val="000000"/>
                <w:sz w:val="20"/>
                <w:szCs w:val="20"/>
              </w:rPr>
              <w:t>Co-infected</w:t>
            </w:r>
          </w:p>
        </w:tc>
        <w:tc>
          <w:tcPr>
            <w:tcW w:w="117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0.388</w:t>
            </w:r>
          </w:p>
        </w:tc>
        <w:tc>
          <w:tcPr>
            <w:tcW w:w="108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0.092</w:t>
            </w:r>
          </w:p>
        </w:tc>
        <w:tc>
          <w:tcPr>
            <w:tcW w:w="72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2.049</w:t>
            </w:r>
          </w:p>
        </w:tc>
        <w:tc>
          <w:tcPr>
            <w:tcW w:w="117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3.46e-02*</w:t>
            </w:r>
          </w:p>
        </w:tc>
        <w:tc>
          <w:tcPr>
            <w:tcW w:w="99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center"/>
              <w:rPr>
                <w:rFonts w:ascii="Times New Roman" w:cs="Times New Roman" w:hAnsi="Times New Roman"/>
                <w:color w:val="000000"/>
                <w:sz w:val="20"/>
                <w:szCs w:val="20"/>
              </w:rPr>
            </w:pPr>
            <w:r>
              <w:rPr>
                <w:rFonts w:ascii="Times New Roman" w:cs="Times New Roman" w:hAnsi="Times New Roman"/>
                <w:color w:val="000000"/>
                <w:sz w:val="20"/>
                <w:szCs w:val="20"/>
              </w:rPr>
              <w:t>1.473</w:t>
            </w:r>
          </w:p>
        </w:tc>
        <w:tc>
          <w:tcPr>
            <w:tcW w:w="126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[1.298,</w:t>
            </w:r>
          </w:p>
        </w:tc>
        <w:tc>
          <w:tcPr>
            <w:tcW w:w="720" w:type="dxa"/>
            <w:tcBorders>
              <w:bottom w:val="single" w:sz="12" w:space="0" w:color="auto"/>
            </w:tcBorders>
            <w:shd w:val="clear" w:color="auto" w:fill="ffffff"/>
            <w:tcFitText w:val="false"/>
            <w:vAlign w:val="center"/>
          </w:tcPr>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p>
          <w:p>
            <w:pPr>
              <w:pStyle w:val="style0"/>
              <w:autoSpaceDE w:val="false"/>
              <w:autoSpaceDN w:val="false"/>
              <w:adjustRightInd w:val="false"/>
              <w:spacing w:after="0" w:lineRule="auto" w:line="240"/>
              <w:ind w:firstLine="270" w:left="-270" w:right="60"/>
              <w:jc w:val="right"/>
              <w:rPr>
                <w:rFonts w:ascii="Times New Roman" w:cs="Times New Roman" w:hAnsi="Times New Roman"/>
                <w:color w:val="000000"/>
                <w:sz w:val="20"/>
                <w:szCs w:val="20"/>
              </w:rPr>
            </w:pPr>
            <w:r>
              <w:rPr>
                <w:rFonts w:ascii="Times New Roman" w:cs="Times New Roman" w:hAnsi="Times New Roman"/>
                <w:color w:val="000000"/>
                <w:sz w:val="20"/>
                <w:szCs w:val="20"/>
              </w:rPr>
              <w:t>1.654]</w:t>
            </w:r>
          </w:p>
        </w:tc>
      </w:tr>
    </w:tbl>
    <w:p>
      <w:pPr>
        <w:pStyle w:val="style0"/>
        <w:autoSpaceDE w:val="false"/>
        <w:autoSpaceDN w:val="false"/>
        <w:adjustRightInd w:val="false"/>
        <w:spacing w:after="0" w:lineRule="auto" w:line="240"/>
        <w:ind w:firstLine="270" w:left="-270"/>
        <w:jc w:val="both"/>
        <w:rPr>
          <w:rFonts w:ascii="Times New Roman" w:cs="Times New Roman" w:hAnsi="Times New Roman"/>
          <w:i/>
          <w:sz w:val="20"/>
          <w:szCs w:val="20"/>
        </w:rPr>
      </w:pPr>
      <w:r>
        <w:rPr>
          <w:i/>
          <w:iCs/>
          <w:sz w:val="20"/>
          <w:szCs w:val="20"/>
        </w:rPr>
        <w:t xml:space="preserve">Source: </w:t>
      </w:r>
      <w:r>
        <w:rPr>
          <w:rFonts w:ascii="Times New Roman" w:cs="Times New Roman" w:hAnsi="Times New Roman"/>
          <w:i/>
          <w:sz w:val="20"/>
          <w:szCs w:val="20"/>
        </w:rPr>
        <w:t xml:space="preserve">Hossana </w:t>
      </w:r>
      <w:r>
        <w:rPr>
          <w:rFonts w:ascii="Times New Roman" w:cs="Times New Roman" w:hAnsi="Times New Roman"/>
          <w:bCs/>
          <w:i/>
          <w:sz w:val="20"/>
          <w:szCs w:val="20"/>
        </w:rPr>
        <w:t>Queen Elleni Mohamad Memorial Hospital, SNNPR, Ethiopia;</w:t>
      </w:r>
      <w:r>
        <w:rPr>
          <w:rFonts w:ascii="Times New Roman" w:cs="Times New Roman" w:hAnsi="Times New Roman"/>
          <w:i/>
          <w:sz w:val="20"/>
          <w:szCs w:val="20"/>
        </w:rPr>
        <w:t xml:space="preserve"> from 1</w:t>
      </w:r>
      <w:r>
        <w:rPr>
          <w:rFonts w:ascii="Times New Roman" w:cs="Times New Roman" w:hAnsi="Times New Roman"/>
          <w:i/>
          <w:sz w:val="20"/>
          <w:szCs w:val="20"/>
          <w:vertAlign w:val="superscript"/>
        </w:rPr>
        <w:t>st</w:t>
      </w:r>
      <w:r>
        <w:rPr>
          <w:rFonts w:ascii="Times New Roman" w:cs="Times New Roman" w:hAnsi="Times New Roman"/>
          <w:i/>
          <w:sz w:val="20"/>
          <w:szCs w:val="20"/>
        </w:rPr>
        <w:t xml:space="preserve"> February 2011 to 1</w:t>
      </w:r>
      <w:r>
        <w:rPr>
          <w:rFonts w:ascii="Times New Roman" w:cs="Times New Roman" w:hAnsi="Times New Roman"/>
          <w:i/>
          <w:sz w:val="20"/>
          <w:szCs w:val="20"/>
          <w:vertAlign w:val="superscript"/>
        </w:rPr>
        <w:t>st</w:t>
      </w:r>
      <w:r>
        <w:rPr>
          <w:rFonts w:ascii="Times New Roman" w:cs="Times New Roman" w:hAnsi="Times New Roman"/>
          <w:i/>
          <w:sz w:val="20"/>
          <w:szCs w:val="20"/>
        </w:rPr>
        <w:t xml:space="preserve"> January </w:t>
      </w:r>
    </w:p>
    <w:p>
      <w:pPr>
        <w:pStyle w:val="style0"/>
        <w:autoSpaceDE w:val="false"/>
        <w:autoSpaceDN w:val="false"/>
        <w:adjustRightInd w:val="false"/>
        <w:spacing w:after="0" w:lineRule="auto" w:line="240"/>
        <w:ind w:firstLine="270" w:left="-270"/>
        <w:jc w:val="both"/>
        <w:rPr>
          <w:i/>
          <w:sz w:val="20"/>
          <w:szCs w:val="20"/>
        </w:rPr>
      </w:pPr>
      <w:r>
        <w:rPr>
          <w:rFonts w:ascii="Times New Roman" w:cs="Times New Roman" w:hAnsi="Times New Roman"/>
          <w:i/>
          <w:sz w:val="20"/>
          <w:szCs w:val="20"/>
        </w:rPr>
        <w:t>2016</w:t>
      </w:r>
      <w:r>
        <w:rPr>
          <w:i/>
          <w:iCs/>
          <w:sz w:val="20"/>
          <w:szCs w:val="20"/>
        </w:rPr>
        <w:t>* indicates</w:t>
      </w:r>
      <w:r>
        <w:rPr>
          <w:i/>
          <w:iCs/>
          <w:sz w:val="20"/>
          <w:szCs w:val="20"/>
        </w:rPr>
        <w:t xml:space="preserve"> statistical significance at 0.05 level of significance.  </w:t>
      </w:r>
      <w:r>
        <w:rPr>
          <w:i/>
          <w:sz w:val="20"/>
          <w:szCs w:val="20"/>
        </w:rPr>
        <w:t>SE= Standard Error</w:t>
      </w:r>
      <w:r>
        <w:rPr>
          <w:i/>
          <w:sz w:val="20"/>
          <w:szCs w:val="20"/>
        </w:rPr>
        <w:t>, HR</w:t>
      </w:r>
      <w:r>
        <w:rPr>
          <w:i/>
          <w:sz w:val="20"/>
          <w:szCs w:val="20"/>
        </w:rPr>
        <w:t xml:space="preserve">= Hazard Ratio,  </w:t>
      </w:r>
    </w:p>
    <w:p>
      <w:pPr>
        <w:pStyle w:val="style0"/>
        <w:autoSpaceDE w:val="false"/>
        <w:autoSpaceDN w:val="false"/>
        <w:adjustRightInd w:val="false"/>
        <w:spacing w:after="0" w:lineRule="auto" w:line="240"/>
        <w:ind w:firstLine="270" w:left="-270"/>
        <w:jc w:val="both"/>
        <w:rPr>
          <w:b/>
          <w:bCs/>
          <w:i/>
          <w:sz w:val="20"/>
          <w:szCs w:val="20"/>
        </w:rPr>
      </w:pPr>
      <w:r>
        <w:rPr>
          <w:i/>
          <w:sz w:val="20"/>
          <w:szCs w:val="20"/>
        </w:rPr>
        <w:t xml:space="preserve"> CI = Confidence Interval, </w:t>
      </w:r>
      <w:r>
        <w:rPr>
          <w:i/>
          <w:sz w:val="20"/>
          <w:szCs w:val="20"/>
        </w:rPr>
        <w:t>Ref. = Reference</w:t>
      </w:r>
      <w:r>
        <w:rPr>
          <w:rFonts w:ascii="ArialMT" w:cs="ArialMT" w:hAnsi="ArialMT"/>
          <w:i/>
          <w:sz w:val="20"/>
          <w:szCs w:val="20"/>
        </w:rPr>
        <w:t xml:space="preserve">, </w:t>
      </w:r>
      <w:r>
        <w:rPr>
          <w:i/>
          <w:iCs/>
          <w:sz w:val="20"/>
          <w:szCs w:val="20"/>
        </w:rPr>
        <w:t xml:space="preserve">AIC value= </w:t>
      </w:r>
      <w:r>
        <w:rPr>
          <w:sz w:val="20"/>
          <w:szCs w:val="20"/>
        </w:rPr>
        <w:t>1684.139</w:t>
      </w:r>
    </w:p>
    <w:p>
      <w:pPr>
        <w:pStyle w:val="style4097"/>
        <w:ind w:firstLine="270" w:left="-270"/>
        <w:rPr>
          <w:sz w:val="20"/>
          <w:szCs w:val="20"/>
        </w:rPr>
      </w:pPr>
    </w:p>
    <w:p>
      <w:pPr>
        <w:pStyle w:val="style4097"/>
        <w:ind w:firstLine="270" w:left="-270"/>
        <w:rPr>
          <w:rFonts w:ascii="Times New Roman" w:cs="Times New Roman" w:hAnsi="Times New Roman"/>
          <w:sz w:val="20"/>
          <w:szCs w:val="20"/>
        </w:rPr>
      </w:pPr>
      <w:r>
        <w:rPr>
          <w:rFonts w:ascii="Times New Roman" w:cs="Times New Roman" w:hAnsi="Times New Roman"/>
          <w:sz w:val="20"/>
          <w:szCs w:val="20"/>
        </w:rPr>
        <w:t>In this study the baseline hazard for final weibull regression model obtained from equation ( 3.42) and with the pa</w:t>
      </w:r>
      <w:r>
        <w:rPr>
          <w:rFonts w:ascii="Times New Roman" w:cs="Times New Roman" w:hAnsi="Times New Roman"/>
          <w:sz w:val="20"/>
          <w:szCs w:val="20"/>
        </w:rPr>
        <w:t>rameters found in Table 4.10</w:t>
      </w:r>
      <w:r>
        <w:rPr>
          <w:rFonts w:ascii="Times New Roman" w:cs="Times New Roman" w:hAnsi="Times New Roman"/>
          <w:sz w:val="20"/>
          <w:szCs w:val="20"/>
        </w:rPr>
        <w:t xml:space="preserve">, the survival time of HIV  patients with Weibull distribution can be expressed as t </w:t>
      </w:r>
      <w:r>
        <w:rPr>
          <w:rFonts w:ascii="Cambria Math" w:cs="Times New Roman" w:hAnsi="Cambria Math"/>
          <w:sz w:val="20"/>
          <w:szCs w:val="20"/>
        </w:rPr>
        <w:t>∼</w:t>
      </w:r>
      <w:r>
        <w:rPr>
          <w:rFonts w:ascii="Times New Roman" w:cs="Times New Roman" w:hAnsi="Times New Roman"/>
          <w:sz w:val="20"/>
          <w:szCs w:val="20"/>
        </w:rPr>
        <w:t xml:space="preserve"> Weibull(</w:t>
      </w:r>
      <w:r>
        <w:rPr>
          <w:rFonts w:ascii="Times New Roman" w:cs="Times New Roman" w:hAnsi="Times New Roman"/>
          <w:sz w:val="20"/>
          <w:szCs w:val="20"/>
        </w:rPr>
        <w:t>,</w:t>
      </w:r>
      <w:r>
        <w:rPr>
          <w:rFonts w:ascii="Times New Roman" w:cs="Times New Roman" w:hAnsi="Times New Roman"/>
          <w:sz w:val="20"/>
          <w:szCs w:val="20"/>
        </w:rPr>
        <w:t xml:space="preserve">), with parameters  </w:t>
      </w:r>
      <w:r>
        <w:rPr>
          <w:rFonts w:ascii="Times New Roman" w:cs="Times New Roman" w:hAnsi="Times New Roman"/>
          <w:sz w:val="20"/>
          <w:szCs w:val="20"/>
        </w:rPr>
        <w:t>)= 2.98e</w:t>
      </w:r>
      <w:r>
        <w:rPr>
          <w:rFonts w:ascii="Times New Roman" w:cs="Times New Roman" w:hAnsi="Times New Roman"/>
          <w:sz w:val="20"/>
          <w:szCs w:val="20"/>
          <w:vertAlign w:val="superscript"/>
        </w:rPr>
        <w:t>-4</w:t>
      </w:r>
      <w:r>
        <w:rPr>
          <w:rFonts w:ascii="Times New Roman" w:cs="Times New Roman" w:hAnsi="Times New Roman"/>
          <w:sz w:val="20"/>
          <w:szCs w:val="20"/>
        </w:rPr>
        <w:t xml:space="preserve"> and </w:t>
      </w:r>
      <w:r>
        <w:rPr>
          <w:rFonts w:ascii="Times New Roman" w:cs="Times New Roman" w:hAnsi="Times New Roman"/>
          <w:sz w:val="20"/>
          <w:szCs w:val="20"/>
        </w:rPr>
        <w:t xml:space="preserve"> = 2.056 this  shows</w:t>
      </w:r>
      <w:r>
        <w:rPr>
          <w:rFonts w:ascii="Times New Roman" w:cs="Times New Roman" w:hAnsi="Times New Roman"/>
          <w:color w:val="000000"/>
          <w:sz w:val="20"/>
          <w:szCs w:val="20"/>
        </w:rPr>
        <w:t xml:space="preserve"> hazard increases monotonically with time</w:t>
      </w:r>
      <w:r>
        <w:rPr>
          <w:rFonts w:ascii="Times New Roman" w:cs="Times New Roman" w:hAnsi="Times New Roman"/>
          <w:sz w:val="20"/>
          <w:szCs w:val="20"/>
        </w:rPr>
        <w:t xml:space="preserve"> , time ~ Weibull ( 2.056, 2.98e</w:t>
      </w:r>
      <w:r>
        <w:rPr>
          <w:rFonts w:ascii="Times New Roman" w:cs="Times New Roman" w:hAnsi="Times New Roman"/>
          <w:sz w:val="20"/>
          <w:szCs w:val="20"/>
          <w:vertAlign w:val="superscript"/>
        </w:rPr>
        <w:t>-4</w:t>
      </w:r>
      <w:r>
        <w:rPr>
          <w:rFonts w:ascii="Times New Roman" w:cs="Times New Roman" w:hAnsi="Times New Roman"/>
          <w:sz w:val="20"/>
          <w:szCs w:val="20"/>
        </w:rPr>
        <w:t xml:space="preserve">). By substituting the parameters in the final Weibull model with substitution of </w:t>
      </w:r>
      <w:r>
        <w:rPr>
          <w:rFonts w:ascii="Times New Roman" w:cs="Times New Roman" w:hAnsi="Times New Roman"/>
          <w:sz w:val="20"/>
          <w:szCs w:val="20"/>
        </w:rPr>
        <w:t xml:space="preserve"> and </w:t>
      </w:r>
      <w:r>
        <w:rPr>
          <w:rFonts w:ascii="Times New Roman" w:cs="Times New Roman" w:hAnsi="Times New Roman"/>
          <w:sz w:val="20"/>
          <w:szCs w:val="20"/>
        </w:rPr>
        <w:t xml:space="preserve"> the Weibull hazard regression model that predicts the hazard rate of patients with identical data settings is:</w:t>
      </w:r>
    </w:p>
    <w:p>
      <w:pPr>
        <w:pStyle w:val="style0"/>
        <w:spacing w:before="240" w:after="0" w:lineRule="auto" w:line="240"/>
        <w:ind w:firstLine="270" w:left="-270"/>
        <w:rPr>
          <w:color w:val="000000"/>
          <w:sz w:val="20"/>
          <w:szCs w:val="20"/>
        </w:rPr>
      </w:pPr>
      <w:r>
        <w:rPr>
          <w:color w:val="000000"/>
          <w:sz w:val="20"/>
          <w:szCs w:val="20"/>
        </w:rPr>
        <w:t xml:space="preserve">           </w:t>
      </w:r>
    </w:p>
    <w:p>
      <w:pPr>
        <w:pStyle w:val="style0"/>
        <w:spacing w:before="240" w:after="0" w:lineRule="auto" w:line="240"/>
        <w:ind w:firstLine="270" w:left="-270"/>
        <w:rPr>
          <w:rFonts w:ascii="Times New Roman" w:cs="Times New Roman" w:hAnsi="Times New Roman"/>
          <w:sz w:val="20"/>
          <w:szCs w:val="20"/>
        </w:rPr>
      </w:pPr>
      <w:r>
        <w:rPr>
          <w:rFonts w:ascii="Times New Roman" w:cs="Times New Roman" w:hAnsi="Times New Roman"/>
          <w:sz w:val="20"/>
          <w:szCs w:val="20"/>
        </w:rPr>
        <w:t xml:space="preserve">Form the final Weibull regression model the baseline hazard vary with  </w:t>
      </w:r>
      <w:r>
        <w:rPr>
          <w:rFonts w:ascii="Times New Roman" w:cs="Times New Roman" w:hAnsi="Times New Roman"/>
          <w:sz w:val="20"/>
          <w:szCs w:val="20"/>
        </w:rPr>
        <w:t xml:space="preserve">; so the base line hazard function of  HIV  infected  patients for HQEMMH is given with formula of (4.2) in every increase in time </w:t>
      </w:r>
    </w:p>
    <w:p>
      <w:pPr>
        <w:pStyle w:val="style4097"/>
        <w:spacing w:before="240"/>
        <w:ind w:firstLine="270" w:left="-270"/>
        <w:rPr>
          <w:b/>
          <w:bCs/>
          <w:sz w:val="20"/>
          <w:szCs w:val="20"/>
        </w:rPr>
      </w:pPr>
      <w:r>
        <w:rPr>
          <w:rFonts w:ascii="Times New Roman" w:cs="Times New Roman" w:hAnsi="Times New Roman"/>
          <w:i/>
          <w:color w:val="000000"/>
          <w:sz w:val="20"/>
          <w:szCs w:val="20"/>
        </w:rPr>
        <w:t>h</w:t>
      </w:r>
      <w:r>
        <w:rPr>
          <w:rFonts w:ascii="Times New Roman" w:cs="Times New Roman" w:hAnsi="Times New Roman"/>
          <w:i/>
          <w:color w:val="000000"/>
          <w:sz w:val="20"/>
          <w:szCs w:val="20"/>
          <w:vertAlign w:val="subscript"/>
        </w:rPr>
        <w:t>o</w:t>
      </w:r>
      <w:r>
        <w:rPr>
          <w:rFonts w:ascii="Times New Roman" w:cs="Times New Roman" w:hAnsi="Times New Roman"/>
          <w:i/>
          <w:color w:val="000000"/>
          <w:sz w:val="20"/>
          <w:szCs w:val="20"/>
        </w:rPr>
        <w:t>=</w:t>
      </w:r>
      <w:r>
        <w:rPr>
          <w:rFonts w:ascii="Calibri" w:cs="Calibri" w:hAnsi="Calibri"/>
          <w:i/>
          <w:sz w:val="20"/>
          <w:szCs w:val="20"/>
        </w:rPr>
        <w:t xml:space="preserve"> =</w:t>
      </w:r>
      <w:r>
        <w:rPr>
          <w:rFonts w:ascii="Calibri" w:cs="Calibri" w:hAnsi="Calibri"/>
          <w:sz w:val="20"/>
          <w:szCs w:val="20"/>
        </w:rPr>
        <w:t xml:space="preserve"> (4</w:t>
      </w:r>
      <w:r>
        <w:rPr>
          <w:rFonts w:ascii="Calibri" w:cs="Calibri" w:hAnsi="Calibri"/>
          <w:sz w:val="20"/>
          <w:szCs w:val="20"/>
        </w:rPr>
        <w:t>.2</w:t>
      </w:r>
      <w:r>
        <w:rPr>
          <w:rFonts w:ascii="Calibri" w:cs="Calibri" w:hAnsi="Calibri"/>
          <w:sz w:val="20"/>
          <w:szCs w:val="20"/>
        </w:rPr>
        <w:t>)</w:t>
      </w:r>
    </w:p>
    <w:p>
      <w:pPr>
        <w:pStyle w:val="style0"/>
        <w:autoSpaceDE w:val="false"/>
        <w:autoSpaceDN w:val="false"/>
        <w:adjustRightInd w:val="false"/>
        <w:spacing w:after="0" w:lineRule="auto" w:line="240"/>
        <w:ind w:firstLine="270" w:left="-270"/>
        <w:jc w:val="both"/>
        <w:rPr>
          <w:rFonts w:ascii="Times New Roman" w:cs="Times New Roman" w:hAnsi="Times New Roman"/>
          <w:sz w:val="20"/>
          <w:szCs w:val="20"/>
        </w:rPr>
      </w:pPr>
      <w:r>
        <w:rPr>
          <w:rFonts w:ascii="Times New Roman" w:cs="Times New Roman" w:hAnsi="Times New Roman" w:eastAsiaTheme="minorHAnsi"/>
          <w:color w:val="231f20"/>
          <w:sz w:val="20"/>
          <w:szCs w:val="20"/>
        </w:rPr>
        <w:t xml:space="preserve">The importance of this </w:t>
      </w:r>
      <w:r>
        <w:rPr>
          <w:rFonts w:ascii="Times New Roman" w:cs="Times New Roman" w:hAnsi="Times New Roman" w:eastAsiaTheme="minorHAnsi"/>
          <w:color w:val="231f20"/>
          <w:sz w:val="20"/>
          <w:szCs w:val="20"/>
        </w:rPr>
        <w:t xml:space="preserve">interpretation </w:t>
      </w:r>
      <w:r>
        <w:rPr>
          <w:rFonts w:ascii="Times New Roman" w:cs="Times New Roman" w:hAnsi="Times New Roman" w:eastAsiaTheme="minorHAnsi"/>
          <w:color w:val="231f20"/>
          <w:sz w:val="20"/>
          <w:szCs w:val="20"/>
        </w:rPr>
        <w:t xml:space="preserve">is that for those </w:t>
      </w:r>
      <w:r>
        <w:rPr>
          <w:rFonts w:ascii="Times New Roman" w:cs="Times New Roman" w:hAnsi="Times New Roman" w:eastAsiaTheme="minorHAnsi"/>
          <w:color w:val="231f20"/>
          <w:sz w:val="20"/>
          <w:szCs w:val="20"/>
        </w:rPr>
        <w:t>data where it was</w:t>
      </w:r>
      <w:r>
        <w:rPr>
          <w:rFonts w:ascii="Times New Roman" w:cs="Times New Roman" w:hAnsi="Times New Roman" w:eastAsiaTheme="minorHAnsi"/>
          <w:color w:val="231f20"/>
          <w:sz w:val="20"/>
          <w:szCs w:val="20"/>
        </w:rPr>
        <w:t xml:space="preserve"> considered reasonable to apply Cox regression to estimate the underlying hazard ratio, it should also be reasonable to apply a Weibull analysis to</w:t>
      </w:r>
      <w:r>
        <w:rPr>
          <w:rFonts w:ascii="Times New Roman" w:cs="Times New Roman" w:hAnsi="Times New Roman" w:eastAsiaTheme="minorHAnsi"/>
          <w:color w:val="231f20"/>
          <w:sz w:val="20"/>
          <w:szCs w:val="20"/>
        </w:rPr>
        <w:t xml:space="preserve"> estimate the hazard ratio and </w:t>
      </w:r>
      <w:r>
        <w:rPr>
          <w:rFonts w:ascii="Times New Roman" w:cs="Times New Roman" w:hAnsi="Times New Roman" w:eastAsiaTheme="minorHAnsi"/>
          <w:color w:val="231f20"/>
          <w:sz w:val="20"/>
          <w:szCs w:val="20"/>
        </w:rPr>
        <w:t>using the estimated scale parameter</w:t>
      </w:r>
      <w:r>
        <w:rPr>
          <w:rFonts w:ascii="Times New Roman" w:cs="Times New Roman" w:hAnsi="Times New Roman" w:eastAsiaTheme="minorHAnsi"/>
          <w:color w:val="231f20"/>
          <w:sz w:val="20"/>
          <w:szCs w:val="20"/>
        </w:rPr>
        <w:t xml:space="preserve">. </w:t>
      </w:r>
      <w:r>
        <w:rPr>
          <w:rFonts w:ascii="Times New Roman" w:cs="Times New Roman" w:hAnsi="Times New Roman" w:eastAsiaTheme="minorHAnsi"/>
          <w:color w:val="231f20"/>
          <w:sz w:val="20"/>
          <w:szCs w:val="20"/>
        </w:rPr>
        <w:t xml:space="preserve">In this study </w:t>
      </w:r>
      <w:r>
        <w:rPr>
          <w:rFonts w:ascii="Times New Roman" w:cs="Times New Roman" w:hAnsi="Times New Roman" w:eastAsiaTheme="minorHAnsi"/>
          <w:color w:val="231f20"/>
          <w:sz w:val="20"/>
          <w:szCs w:val="20"/>
        </w:rPr>
        <w:t xml:space="preserve">Weibull regression model was </w:t>
      </w:r>
      <w:r>
        <w:rPr>
          <w:rFonts w:ascii="Times New Roman" w:cs="Times New Roman" w:hAnsi="Times New Roman" w:eastAsiaTheme="minorHAnsi"/>
          <w:color w:val="231f20"/>
          <w:sz w:val="20"/>
          <w:szCs w:val="20"/>
        </w:rPr>
        <w:t>considered as</w:t>
      </w:r>
      <w:r>
        <w:rPr>
          <w:rFonts w:ascii="Times New Roman" w:cs="Times New Roman" w:hAnsi="Times New Roman" w:eastAsiaTheme="minorHAnsi"/>
          <w:color w:val="231f20"/>
          <w:sz w:val="20"/>
          <w:szCs w:val="20"/>
        </w:rPr>
        <w:t xml:space="preserve"> better fit</w:t>
      </w:r>
      <w:r>
        <w:rPr>
          <w:rFonts w:ascii="Times New Roman" w:cs="Times New Roman" w:hAnsi="Times New Roman" w:eastAsiaTheme="minorHAnsi"/>
          <w:color w:val="231f20"/>
          <w:sz w:val="20"/>
          <w:szCs w:val="20"/>
        </w:rPr>
        <w:t xml:space="preserve"> to the data, </w:t>
      </w:r>
      <w:r>
        <w:rPr>
          <w:rFonts w:ascii="Times New Roman" w:cs="Times New Roman" w:hAnsi="Times New Roman" w:eastAsiaTheme="minorHAnsi"/>
          <w:color w:val="231f20"/>
          <w:sz w:val="20"/>
          <w:szCs w:val="20"/>
        </w:rPr>
        <w:t>and also both hazard</w:t>
      </w:r>
      <w:r>
        <w:rPr>
          <w:rFonts w:ascii="Times New Roman" w:cs="Times New Roman" w:hAnsi="Times New Roman" w:eastAsiaTheme="minorHAnsi"/>
          <w:color w:val="231f20"/>
          <w:sz w:val="20"/>
          <w:szCs w:val="20"/>
        </w:rPr>
        <w:t xml:space="preserve"> ratio and survival probabilities can </w:t>
      </w:r>
      <w:r>
        <w:rPr>
          <w:rFonts w:ascii="Times New Roman" w:cs="Times New Roman" w:hAnsi="Times New Roman" w:eastAsiaTheme="minorHAnsi"/>
          <w:color w:val="231f20"/>
          <w:sz w:val="20"/>
          <w:szCs w:val="20"/>
        </w:rPr>
        <w:t>be still interpreted</w:t>
      </w:r>
      <w:r>
        <w:rPr>
          <w:rFonts w:ascii="Times New Roman" w:cs="Times New Roman" w:hAnsi="Times New Roman" w:eastAsiaTheme="minorHAnsi"/>
          <w:color w:val="231f20"/>
          <w:sz w:val="20"/>
          <w:szCs w:val="20"/>
        </w:rPr>
        <w:t xml:space="preserve"> as the </w:t>
      </w:r>
      <w:r>
        <w:rPr>
          <w:rFonts w:ascii="Times New Roman" w:cs="Times New Roman" w:hAnsi="Times New Roman" w:eastAsiaTheme="minorHAnsi"/>
          <w:color w:val="231f20"/>
          <w:sz w:val="20"/>
          <w:szCs w:val="20"/>
        </w:rPr>
        <w:t>hazard rate</w:t>
      </w:r>
      <w:r>
        <w:rPr>
          <w:rFonts w:ascii="Times New Roman" w:cs="Times New Roman" w:hAnsi="Times New Roman" w:eastAsiaTheme="minorHAnsi"/>
          <w:color w:val="231f20"/>
          <w:sz w:val="20"/>
          <w:szCs w:val="20"/>
        </w:rPr>
        <w:t xml:space="preserve"> of death or</w:t>
      </w:r>
      <w:r>
        <w:rPr>
          <w:rFonts w:ascii="Times New Roman" w:cs="Times New Roman" w:hAnsi="Times New Roman" w:eastAsiaTheme="minorHAnsi"/>
          <w:color w:val="231f20"/>
          <w:sz w:val="20"/>
          <w:szCs w:val="20"/>
        </w:rPr>
        <w:t xml:space="preserve">survival probabilities </w:t>
      </w:r>
      <w:r>
        <w:rPr>
          <w:rFonts w:ascii="Times New Roman" w:cs="Times New Roman" w:hAnsi="Times New Roman" w:eastAsiaTheme="minorHAnsi"/>
          <w:color w:val="231f20"/>
          <w:sz w:val="20"/>
          <w:szCs w:val="20"/>
        </w:rPr>
        <w:t>increase/decre</w:t>
      </w:r>
      <w:r>
        <w:rPr>
          <w:rFonts w:ascii="Times New Roman" w:cs="Times New Roman" w:hAnsi="Times New Roman" w:eastAsiaTheme="minorHAnsi"/>
          <w:color w:val="231f20"/>
          <w:sz w:val="20"/>
          <w:szCs w:val="20"/>
        </w:rPr>
        <w:t>a</w:t>
      </w:r>
      <w:r>
        <w:rPr>
          <w:rFonts w:ascii="Times New Roman" w:cs="Times New Roman" w:hAnsi="Times New Roman" w:eastAsiaTheme="minorHAnsi"/>
          <w:color w:val="231f20"/>
          <w:sz w:val="20"/>
          <w:szCs w:val="20"/>
        </w:rPr>
        <w:t xml:space="preserve">se in </w:t>
      </w:r>
      <w:r>
        <w:rPr>
          <w:rFonts w:ascii="Times New Roman" w:cs="Times New Roman" w:hAnsi="Times New Roman" w:eastAsiaTheme="minorHAnsi"/>
          <w:color w:val="231f20"/>
          <w:sz w:val="20"/>
          <w:szCs w:val="20"/>
        </w:rPr>
        <w:t xml:space="preserve">survival </w:t>
      </w:r>
      <w:r>
        <w:rPr>
          <w:rFonts w:ascii="Times New Roman" w:cs="Times New Roman" w:hAnsi="Times New Roman" w:eastAsiaTheme="minorHAnsi"/>
          <w:color w:val="231f20"/>
          <w:sz w:val="20"/>
          <w:szCs w:val="20"/>
        </w:rPr>
        <w:t xml:space="preserve">time on </w:t>
      </w:r>
      <w:r>
        <w:rPr>
          <w:rFonts w:ascii="Times New Roman" w:cs="Times New Roman" w:hAnsi="Times New Roman"/>
          <w:sz w:val="20"/>
          <w:szCs w:val="20"/>
        </w:rPr>
        <w:t xml:space="preserve">the reference group </w:t>
      </w:r>
      <w:r>
        <w:rPr>
          <w:rFonts w:ascii="Times New Roman" w:cs="Times New Roman" w:hAnsi="Times New Roman" w:eastAsiaTheme="minorHAnsi"/>
          <w:color w:val="231f20"/>
          <w:sz w:val="20"/>
          <w:szCs w:val="20"/>
        </w:rPr>
        <w:t xml:space="preserve">relative to </w:t>
      </w:r>
      <w:r>
        <w:rPr>
          <w:rFonts w:ascii="Times New Roman" w:cs="Times New Roman" w:hAnsi="Times New Roman"/>
          <w:sz w:val="20"/>
          <w:szCs w:val="20"/>
        </w:rPr>
        <w:t>others</w:t>
      </w:r>
      <w:r>
        <w:rPr>
          <w:rFonts w:ascii="Times New Roman" w:cs="Times New Roman" w:hAnsi="Times New Roman" w:eastAsiaTheme="minorHAnsi"/>
          <w:color w:val="231f20"/>
          <w:sz w:val="20"/>
          <w:szCs w:val="20"/>
        </w:rPr>
        <w:t>.</w:t>
      </w:r>
    </w:p>
    <w:p>
      <w:pPr>
        <w:pStyle w:val="style0"/>
        <w:autoSpaceDE w:val="false"/>
        <w:autoSpaceDN w:val="false"/>
        <w:adjustRightInd w:val="false"/>
        <w:spacing w:after="0" w:lineRule="auto" w:line="240"/>
        <w:ind w:firstLine="270" w:left="-270" w:right="60"/>
        <w:jc w:val="both"/>
        <w:rPr>
          <w:rFonts w:ascii="Times New Roman" w:cs="Times New Roman" w:hAnsi="Times New Roman"/>
          <w:sz w:val="20"/>
          <w:szCs w:val="20"/>
        </w:rPr>
      </w:pPr>
      <w:r>
        <w:rPr>
          <w:rFonts w:ascii="Times New Roman" w:cs="Times New Roman" w:hAnsi="Times New Roman"/>
          <w:sz w:val="20"/>
          <w:szCs w:val="20"/>
        </w:rPr>
        <w:t>The</w:t>
      </w:r>
      <w:r>
        <w:rPr>
          <w:rFonts w:ascii="Times New Roman" w:cs="Times New Roman" w:hAnsi="Times New Roman"/>
          <w:sz w:val="20"/>
          <w:szCs w:val="20"/>
        </w:rPr>
        <w:t xml:space="preserve"> </w:t>
      </w:r>
      <w:r>
        <w:rPr>
          <w:rFonts w:ascii="Times New Roman" w:cs="Times New Roman" w:hAnsi="Times New Roman"/>
          <w:sz w:val="20"/>
          <w:szCs w:val="20"/>
        </w:rPr>
        <w:t>ab</w:t>
      </w:r>
      <w:r>
        <w:rPr>
          <w:rFonts w:ascii="Times New Roman" w:cs="Times New Roman" w:hAnsi="Times New Roman"/>
          <w:sz w:val="20"/>
          <w:szCs w:val="20"/>
        </w:rPr>
        <w:t xml:space="preserve">use </w:t>
      </w:r>
      <w:r>
        <w:rPr>
          <w:rFonts w:ascii="Times New Roman" w:cs="Times New Roman" w:hAnsi="Times New Roman"/>
          <w:color w:val="000000"/>
          <w:sz w:val="20"/>
          <w:szCs w:val="20"/>
        </w:rPr>
        <w:t xml:space="preserve">substance </w:t>
      </w:r>
      <w:r>
        <w:rPr>
          <w:rFonts w:ascii="Times New Roman" w:cs="Times New Roman" w:hAnsi="Times New Roman"/>
          <w:color w:val="000000"/>
          <w:sz w:val="20"/>
          <w:szCs w:val="20"/>
        </w:rPr>
        <w:t>(</w:t>
      </w:r>
      <w:r>
        <w:rPr>
          <w:rFonts w:ascii="Times New Roman" w:cs="Times New Roman" w:hAnsi="Times New Roman"/>
          <w:color w:val="000000"/>
          <w:sz w:val="20"/>
          <w:szCs w:val="20"/>
        </w:rPr>
        <w:t>alcohol, soft drugs)</w:t>
      </w:r>
      <w:r>
        <w:rPr>
          <w:rFonts w:ascii="Times New Roman" w:cs="Times New Roman" w:hAnsi="Times New Roman"/>
          <w:sz w:val="20"/>
          <w:szCs w:val="20"/>
        </w:rPr>
        <w:t xml:space="preserve"> had also a significant effect on the survival probability of HIV patients. After adjusting other covariates, the hazard rate of patient who were </w:t>
      </w:r>
      <w:r>
        <w:rPr>
          <w:rFonts w:ascii="Times New Roman" w:cs="Times New Roman" w:hAnsi="Times New Roman"/>
          <w:sz w:val="20"/>
          <w:szCs w:val="20"/>
        </w:rPr>
        <w:t>ab</w:t>
      </w:r>
      <w:r>
        <w:rPr>
          <w:rFonts w:ascii="Times New Roman" w:cs="Times New Roman" w:hAnsi="Times New Roman"/>
          <w:sz w:val="20"/>
          <w:szCs w:val="20"/>
        </w:rPr>
        <w:t xml:space="preserve">use substance was </w:t>
      </w:r>
      <w:r>
        <w:rPr>
          <w:rFonts w:ascii="Times New Roman" w:cs="Times New Roman" w:hAnsi="Times New Roman"/>
          <w:color w:val="000000"/>
          <w:sz w:val="20"/>
          <w:szCs w:val="20"/>
        </w:rPr>
        <w:t xml:space="preserve">1.636 </w:t>
      </w:r>
      <w:r>
        <w:rPr>
          <w:rFonts w:ascii="Times New Roman" w:cs="Times New Roman" w:hAnsi="Times New Roman"/>
          <w:sz w:val="20"/>
          <w:szCs w:val="20"/>
        </w:rPr>
        <w:t>times higher than those patient who didn’t use substance (adjusted HR=</w:t>
      </w:r>
      <w:r>
        <w:rPr>
          <w:rFonts w:ascii="Times New Roman" w:cs="Times New Roman" w:hAnsi="Times New Roman"/>
          <w:sz w:val="20"/>
          <w:szCs w:val="20"/>
        </w:rPr>
        <w:t xml:space="preserve"> 1.636 </w:t>
      </w:r>
      <w:r>
        <w:rPr>
          <w:rFonts w:ascii="Times New Roman" w:cs="Times New Roman" w:hAnsi="Times New Roman"/>
          <w:sz w:val="20"/>
          <w:szCs w:val="20"/>
        </w:rPr>
        <w:t>, CI=1.</w:t>
      </w:r>
      <w:r>
        <w:rPr>
          <w:rFonts w:ascii="Times New Roman" w:cs="Times New Roman" w:hAnsi="Times New Roman"/>
          <w:sz w:val="20"/>
          <w:szCs w:val="20"/>
        </w:rPr>
        <w:t>427-1.7</w:t>
      </w:r>
      <w:r>
        <w:rPr>
          <w:rFonts w:ascii="Times New Roman" w:cs="Times New Roman" w:hAnsi="Times New Roman"/>
          <w:sz w:val="20"/>
          <w:szCs w:val="20"/>
        </w:rPr>
        <w:t>34), this pointed out that the survival probability of patients who</w:t>
      </w:r>
      <w:r>
        <w:rPr>
          <w:rFonts w:ascii="Times New Roman" w:cs="Times New Roman" w:hAnsi="Times New Roman"/>
          <w:sz w:val="20"/>
          <w:szCs w:val="20"/>
        </w:rPr>
        <w:t xml:space="preserve"> use substance was reduced by 63.6</w:t>
      </w:r>
      <w:r>
        <w:rPr>
          <w:rFonts w:ascii="Times New Roman" w:cs="Times New Roman" w:hAnsi="Times New Roman"/>
          <w:sz w:val="20"/>
          <w:szCs w:val="20"/>
        </w:rPr>
        <w:t>%. Similarly, After adjusting other covariates, the hazard rate of patients who were</w:t>
      </w:r>
      <w:r>
        <w:rPr>
          <w:rFonts w:ascii="Times New Roman" w:cs="Times New Roman" w:eastAsia="Times New Roman" w:hAnsi="Times New Roman"/>
          <w:sz w:val="20"/>
          <w:szCs w:val="20"/>
          <w:lang w:eastAsia="en-GB"/>
        </w:rPr>
        <w:t xml:space="preserve"> co-infected with TB  was </w:t>
      </w:r>
      <w:r>
        <w:rPr>
          <w:rFonts w:ascii="Times New Roman" w:cs="Times New Roman" w:hAnsi="Times New Roman"/>
          <w:sz w:val="20"/>
          <w:szCs w:val="20"/>
        </w:rPr>
        <w:t>1.47</w:t>
      </w:r>
      <w:r>
        <w:rPr>
          <w:rFonts w:ascii="Times New Roman" w:cs="Times New Roman" w:hAnsi="Times New Roman"/>
          <w:sz w:val="20"/>
          <w:szCs w:val="20"/>
        </w:rPr>
        <w:t>3</w:t>
      </w:r>
      <w:r>
        <w:rPr>
          <w:rFonts w:ascii="Times New Roman" w:cs="Times New Roman" w:eastAsia="Times New Roman" w:hAnsi="Times New Roman"/>
          <w:sz w:val="20"/>
          <w:szCs w:val="20"/>
          <w:lang w:eastAsia="en-GB"/>
        </w:rPr>
        <w:t xml:space="preserve">times higher than patients who had </w:t>
      </w:r>
      <w:r>
        <w:rPr>
          <w:rFonts w:ascii="Times New Roman" w:cs="Times New Roman" w:eastAsia="Times New Roman" w:hAnsi="Times New Roman"/>
          <w:sz w:val="20"/>
          <w:szCs w:val="20"/>
          <w:lang w:eastAsia="en-GB"/>
        </w:rPr>
        <w:t xml:space="preserve">not co-infected </w:t>
      </w:r>
      <w:r>
        <w:rPr>
          <w:rFonts w:ascii="Times New Roman" w:cs="Times New Roman" w:eastAsia="Times New Roman" w:hAnsi="Times New Roman"/>
          <w:sz w:val="20"/>
          <w:szCs w:val="20"/>
          <w:lang w:eastAsia="en-GB"/>
        </w:rPr>
        <w:t xml:space="preserve"> (adjusted HR=</w:t>
      </w:r>
      <w:r>
        <w:rPr>
          <w:rFonts w:ascii="Times New Roman" w:cs="Times New Roman" w:hAnsi="Times New Roman"/>
          <w:sz w:val="20"/>
          <w:szCs w:val="20"/>
        </w:rPr>
        <w:t>1.47</w:t>
      </w:r>
      <w:r>
        <w:rPr>
          <w:rFonts w:ascii="Times New Roman" w:cs="Times New Roman" w:hAnsi="Times New Roman"/>
          <w:sz w:val="20"/>
          <w:szCs w:val="20"/>
        </w:rPr>
        <w:t>3</w:t>
      </w:r>
      <w:r>
        <w:rPr>
          <w:rFonts w:ascii="Times New Roman" w:cs="Times New Roman" w:eastAsia="Times New Roman" w:hAnsi="Times New Roman"/>
          <w:sz w:val="20"/>
          <w:szCs w:val="20"/>
          <w:lang w:eastAsia="en-GB"/>
        </w:rPr>
        <w:t xml:space="preserve">, 95% CI: </w:t>
      </w:r>
      <w:r>
        <w:rPr>
          <w:rFonts w:ascii="Times New Roman" w:cs="Times New Roman" w:hAnsi="Times New Roman"/>
          <w:sz w:val="20"/>
          <w:szCs w:val="20"/>
        </w:rPr>
        <w:t>1.298</w:t>
      </w:r>
      <w:r>
        <w:rPr>
          <w:rFonts w:ascii="Times New Roman" w:cs="Times New Roman" w:eastAsia="Times New Roman" w:hAnsi="Times New Roman"/>
          <w:sz w:val="20"/>
          <w:szCs w:val="20"/>
          <w:lang w:eastAsia="en-GB"/>
        </w:rPr>
        <w:t>-</w:t>
      </w:r>
      <w:r>
        <w:rPr>
          <w:rFonts w:ascii="Times New Roman" w:cs="Times New Roman" w:hAnsi="Times New Roman"/>
          <w:sz w:val="20"/>
          <w:szCs w:val="20"/>
        </w:rPr>
        <w:t>1.654</w:t>
      </w:r>
      <w:r>
        <w:rPr>
          <w:rFonts w:ascii="Times New Roman" w:cs="Times New Roman" w:eastAsia="Times New Roman" w:hAnsi="Times New Roman"/>
          <w:sz w:val="20"/>
          <w:szCs w:val="20"/>
          <w:lang w:eastAsia="en-GB"/>
        </w:rPr>
        <w:t>).</w:t>
      </w:r>
      <w:r>
        <w:rPr>
          <w:rFonts w:ascii="Times New Roman" w:cs="Times New Roman" w:hAnsi="Times New Roman"/>
          <w:sz w:val="20"/>
          <w:szCs w:val="20"/>
        </w:rPr>
        <w:t xml:space="preserve"> This means that the survival probability of HIV patients who TB co-infected was declined by 47.3%.</w:t>
      </w:r>
    </w:p>
    <w:p>
      <w:pPr>
        <w:pStyle w:val="style2"/>
        <w:spacing w:lineRule="auto" w:line="240"/>
        <w:ind w:firstLine="270" w:left="-270"/>
        <w:rPr>
          <w:rFonts w:ascii="Times New Roman" w:cs="Times New Roman" w:hAnsi="Times New Roman"/>
          <w:color w:val="auto"/>
          <w:sz w:val="20"/>
          <w:szCs w:val="20"/>
        </w:rPr>
      </w:pPr>
      <w:r>
        <w:rPr>
          <w:rFonts w:ascii="Times New Roman" w:cs="Times New Roman" w:hAnsi="Times New Roman"/>
          <w:sz w:val="20"/>
          <w:szCs w:val="20"/>
        </w:rPr>
        <w:t xml:space="preserve"> </w:t>
      </w:r>
      <w:bookmarkStart w:id="458" w:name="_Toc414507892"/>
      <w:bookmarkStart w:id="459" w:name="_Toc414508538"/>
      <w:bookmarkStart w:id="460" w:name="_Toc414509128"/>
      <w:bookmarkStart w:id="461" w:name="_Toc450285350"/>
      <w:bookmarkStart w:id="462" w:name="_Toc450288376"/>
      <w:bookmarkStart w:id="463" w:name="_Toc450292825"/>
      <w:bookmarkStart w:id="464" w:name="_Toc450294552"/>
      <w:bookmarkStart w:id="465" w:name="_Toc450294935"/>
      <w:bookmarkStart w:id="466" w:name="_Toc450724192"/>
      <w:bookmarkStart w:id="467" w:name="_Toc450724437"/>
      <w:bookmarkStart w:id="468" w:name="_Toc451494750"/>
      <w:bookmarkStart w:id="469" w:name="_Toc451496344"/>
      <w:bookmarkStart w:id="470" w:name="_Toc451496847"/>
      <w:bookmarkStart w:id="471" w:name="_Toc451522895"/>
      <w:bookmarkStart w:id="472" w:name="_Toc451742133"/>
      <w:bookmarkStart w:id="473" w:name="_Toc451742874"/>
      <w:bookmarkStart w:id="474" w:name="_Toc452191133"/>
      <w:bookmarkStart w:id="475" w:name="_Toc452191682"/>
      <w:bookmarkStart w:id="476" w:name="_Toc452195103"/>
      <w:r>
        <w:rPr>
          <w:rFonts w:ascii="Times New Roman" w:cs="Times New Roman" w:hAnsi="Times New Roman"/>
          <w:color w:val="auto"/>
          <w:sz w:val="20"/>
          <w:szCs w:val="20"/>
        </w:rPr>
        <w:t xml:space="preserve">5. </w:t>
      </w:r>
      <w:r>
        <w:rPr>
          <w:rFonts w:ascii="Times New Roman" w:cs="Times New Roman" w:hAnsi="Times New Roman"/>
          <w:color w:val="auto"/>
          <w:sz w:val="20"/>
          <w:szCs w:val="20"/>
        </w:rPr>
        <w:t xml:space="preserve">CONCLUSION </w:t>
      </w:r>
      <w:r>
        <w:rPr>
          <w:rFonts w:ascii="Times New Roman" w:cs="Times New Roman" w:hAnsi="Times New Roman"/>
          <w:color w:val="auto"/>
          <w:sz w:val="20"/>
          <w:szCs w:val="20"/>
        </w:rPr>
        <w:t>AND RECOMMENDATION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bookmarkStart w:id="477" w:name="_Toc450285351"/>
    <w:bookmarkStart w:id="478" w:name="_Toc450288377"/>
    <w:bookmarkStart w:id="479" w:name="_Toc450292826"/>
    <w:bookmarkStart w:id="480" w:name="_Toc450294553"/>
    <w:bookmarkStart w:id="481" w:name="_Toc450294936"/>
    <w:bookmarkStart w:id="482" w:name="_Toc450724193"/>
    <w:bookmarkStart w:id="483" w:name="_Toc450724438"/>
    <w:bookmarkStart w:id="484" w:name="_Toc451494751"/>
    <w:bookmarkStart w:id="485" w:name="_Toc451496345"/>
    <w:bookmarkStart w:id="486" w:name="_Toc451496848"/>
    <w:bookmarkStart w:id="487" w:name="_Toc451522896"/>
    <w:bookmarkStart w:id="488" w:name="_Toc451742134"/>
    <w:bookmarkStart w:id="489" w:name="_Toc451742875"/>
    <w:bookmarkStart w:id="490" w:name="_Toc452191134"/>
    <w:bookmarkStart w:id="491" w:name="_Toc452191683"/>
    <w:bookmarkStart w:id="492" w:name="_Toc452195104"/>
    <w:p>
      <w:pPr>
        <w:pStyle w:val="style2"/>
        <w:spacing w:before="0" w:lineRule="auto" w:line="240"/>
        <w:ind w:firstLine="270" w:left="-270" w:right="144"/>
        <w:rPr>
          <w:rFonts w:ascii="Times New Roman" w:cs="Times New Roman" w:hAnsi="Times New Roman"/>
          <w:color w:val="auto"/>
          <w:sz w:val="20"/>
          <w:szCs w:val="20"/>
        </w:rPr>
      </w:pPr>
      <w:r>
        <w:rPr>
          <w:rFonts w:ascii="Times New Roman" w:cs="Times New Roman" w:hAnsi="Times New Roman"/>
          <w:color w:val="auto"/>
          <w:sz w:val="20"/>
          <w:szCs w:val="20"/>
        </w:rPr>
        <w:t xml:space="preserve">        </w:t>
      </w:r>
      <w:r>
        <w:rPr>
          <w:rFonts w:ascii="Times New Roman" w:cs="Times New Roman" w:hAnsi="Times New Roman"/>
          <w:color w:val="auto"/>
          <w:sz w:val="20"/>
          <w:szCs w:val="20"/>
        </w:rPr>
        <w:t>5.1. Conclusion</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style0"/>
        <w:spacing w:after="0" w:lineRule="auto" w:line="240"/>
        <w:ind w:firstLine="270" w:left="-270"/>
        <w:jc w:val="both"/>
        <w:rPr>
          <w:rFonts w:ascii="Times New Roman" w:cs="Times New Roman" w:hAnsi="Times New Roman"/>
          <w:sz w:val="20"/>
          <w:szCs w:val="20"/>
        </w:rPr>
      </w:pPr>
      <w:r>
        <w:rPr>
          <w:rFonts w:ascii="Times New Roman" w:cs="Times New Roman" w:eastAsia="TimesNewRomanPSMT" w:hAnsi="Times New Roman"/>
          <w:sz w:val="20"/>
          <w:szCs w:val="20"/>
        </w:rPr>
        <w:t xml:space="preserve">The </w:t>
      </w:r>
      <w:r>
        <w:rPr>
          <w:rFonts w:ascii="Times New Roman" w:cs="Times New Roman" w:eastAsia="TimesNewRomanPSMT" w:hAnsi="Times New Roman"/>
          <w:sz w:val="20"/>
          <w:szCs w:val="20"/>
        </w:rPr>
        <w:t>results of</w:t>
      </w:r>
      <w:r>
        <w:rPr>
          <w:rFonts w:ascii="Times New Roman" w:cs="Times New Roman" w:eastAsia="TimesNewRomanPSMT" w:hAnsi="Times New Roman"/>
          <w:sz w:val="20"/>
          <w:szCs w:val="20"/>
        </w:rPr>
        <w:t xml:space="preserve"> </w:t>
      </w:r>
      <w:r>
        <w:rPr>
          <w:rFonts w:ascii="Times New Roman" w:cs="Times New Roman" w:eastAsia="TimesNewRomanPSMT" w:hAnsi="Times New Roman"/>
          <w:sz w:val="20"/>
          <w:szCs w:val="20"/>
        </w:rPr>
        <w:t xml:space="preserve">Kaplan-Meier and </w:t>
      </w:r>
      <w:r>
        <w:rPr>
          <w:rFonts w:ascii="Times New Roman" w:cs="Times New Roman" w:hAnsi="Times New Roman"/>
          <w:sz w:val="20"/>
          <w:szCs w:val="20"/>
        </w:rPr>
        <w:t>log-rank</w:t>
      </w:r>
      <w:r>
        <w:rPr>
          <w:rFonts w:ascii="Times New Roman" w:cs="Times New Roman" w:hAnsi="Times New Roman"/>
          <w:sz w:val="20"/>
          <w:szCs w:val="20"/>
        </w:rPr>
        <w:t xml:space="preserve"> </w:t>
      </w:r>
      <w:r>
        <w:rPr>
          <w:rFonts w:ascii="Times New Roman" w:cs="Times New Roman" w:hAnsi="Times New Roman"/>
          <w:sz w:val="20"/>
          <w:szCs w:val="20"/>
        </w:rPr>
        <w:t>test</w:t>
      </w:r>
      <w:r>
        <w:rPr>
          <w:rFonts w:ascii="Times New Roman" w:cs="Times New Roman" w:eastAsia="TimesNewRomanPSMT" w:hAnsi="Times New Roman"/>
          <w:sz w:val="20"/>
          <w:szCs w:val="20"/>
        </w:rPr>
        <w:t xml:space="preserve"> showed </w:t>
      </w:r>
      <w:r>
        <w:rPr>
          <w:rFonts w:ascii="Times New Roman" w:cs="Times New Roman" w:hAnsi="Times New Roman"/>
          <w:sz w:val="20"/>
          <w:szCs w:val="20"/>
        </w:rPr>
        <w:t xml:space="preserve">that </w:t>
      </w:r>
      <w:r>
        <w:rPr>
          <w:rFonts w:ascii="Times New Roman" w:cs="Times New Roman" w:hAnsi="Times New Roman"/>
          <w:sz w:val="20"/>
          <w:szCs w:val="20"/>
        </w:rPr>
        <w:t xml:space="preserve"> patients who had: </w:t>
      </w:r>
      <w:r>
        <w:rPr>
          <w:rFonts w:ascii="Times New Roman" w:cs="Times New Roman" w:hAnsi="Times New Roman"/>
          <w:sz w:val="20"/>
          <w:szCs w:val="20"/>
        </w:rPr>
        <w:t>baseline weight</w:t>
      </w:r>
      <w:r>
        <w:rPr>
          <w:rFonts w:ascii="Times New Roman" w:cs="Times New Roman" w:hAnsi="Times New Roman"/>
          <w:sz w:val="20"/>
          <w:szCs w:val="20"/>
        </w:rPr>
        <w:t xml:space="preserve"> 50kgms or above, </w:t>
      </w:r>
      <w:r>
        <w:rPr>
          <w:rFonts w:ascii="Times New Roman" w:cs="Times New Roman" w:hAnsi="Times New Roman"/>
          <w:sz w:val="20"/>
          <w:szCs w:val="20"/>
        </w:rPr>
        <w:t>wor</w:t>
      </w:r>
      <w:r>
        <w:rPr>
          <w:rFonts w:ascii="Times New Roman" w:cs="Times New Roman" w:hAnsi="Times New Roman"/>
          <w:sz w:val="20"/>
          <w:szCs w:val="20"/>
        </w:rPr>
        <w:t xml:space="preserve">king functional status, </w:t>
      </w:r>
      <w:r>
        <w:rPr>
          <w:rFonts w:ascii="Times New Roman" w:cs="Times New Roman" w:hAnsi="Times New Roman"/>
          <w:sz w:val="20"/>
          <w:szCs w:val="20"/>
        </w:rPr>
        <w:t>secondary an</w:t>
      </w:r>
      <w:r>
        <w:rPr>
          <w:rFonts w:ascii="Times New Roman" w:cs="Times New Roman" w:hAnsi="Times New Roman"/>
          <w:sz w:val="20"/>
          <w:szCs w:val="20"/>
        </w:rPr>
        <w:t>d above education level,</w:t>
      </w:r>
      <w:r>
        <w:rPr>
          <w:rFonts w:ascii="Times New Roman" w:cs="Times New Roman" w:hAnsi="Times New Roman"/>
          <w:sz w:val="20"/>
          <w:szCs w:val="20"/>
        </w:rPr>
        <w:t xml:space="preserve"> good</w:t>
      </w:r>
      <w:r>
        <w:rPr>
          <w:rFonts w:ascii="Times New Roman" w:cs="Times New Roman" w:hAnsi="Times New Roman"/>
          <w:sz w:val="20"/>
          <w:szCs w:val="20"/>
        </w:rPr>
        <w:t xml:space="preserve"> ART adherence , </w:t>
      </w:r>
      <w:r>
        <w:rPr>
          <w:rFonts w:ascii="Times New Roman" w:cs="Times New Roman" w:hAnsi="Times New Roman"/>
          <w:sz w:val="20"/>
          <w:szCs w:val="20"/>
        </w:rPr>
        <w:t xml:space="preserve">200 line CD4 count, </w:t>
      </w:r>
      <w:r>
        <w:rPr>
          <w:rFonts w:ascii="Times New Roman" w:cs="Times New Roman" w:hAnsi="Times New Roman"/>
          <w:sz w:val="20"/>
          <w:szCs w:val="20"/>
        </w:rPr>
        <w:t xml:space="preserve"> not </w:t>
      </w:r>
      <w:r>
        <w:rPr>
          <w:rFonts w:ascii="Times New Roman" w:cs="Times New Roman" w:hAnsi="Times New Roman"/>
          <w:sz w:val="20"/>
          <w:szCs w:val="20"/>
        </w:rPr>
        <w:t>ab</w:t>
      </w:r>
      <w:r>
        <w:rPr>
          <w:rFonts w:ascii="Times New Roman" w:cs="Times New Roman" w:hAnsi="Times New Roman"/>
          <w:sz w:val="20"/>
          <w:szCs w:val="20"/>
        </w:rPr>
        <w:t xml:space="preserve">use substance and no TB co-infected  had better survival time </w:t>
      </w:r>
      <w:r>
        <w:rPr>
          <w:rFonts w:ascii="Times New Roman" w:cs="Times New Roman" w:hAnsi="Times New Roman"/>
          <w:sz w:val="20"/>
          <w:szCs w:val="20"/>
        </w:rPr>
        <w:t>compared with reference groups. U</w:t>
      </w:r>
      <w:r>
        <w:rPr>
          <w:rFonts w:ascii="Times New Roman" w:cs="Times New Roman" w:hAnsi="Times New Roman"/>
          <w:sz w:val="20"/>
          <w:szCs w:val="20"/>
        </w:rPr>
        <w:t>nivariat</w:t>
      </w:r>
      <w:r>
        <w:rPr>
          <w:rFonts w:ascii="Times New Roman" w:cs="Times New Roman" w:hAnsi="Times New Roman"/>
          <w:sz w:val="20"/>
          <w:szCs w:val="20"/>
        </w:rPr>
        <w:t>e Cox Proportional Hazards regression</w:t>
      </w:r>
      <w:r>
        <w:rPr>
          <w:rFonts w:ascii="Times New Roman" w:cs="Times New Roman" w:hAnsi="Times New Roman"/>
          <w:sz w:val="20"/>
          <w:szCs w:val="20"/>
        </w:rPr>
        <w:t xml:space="preserve"> m</w:t>
      </w:r>
      <w:r>
        <w:rPr>
          <w:rFonts w:ascii="Times New Roman" w:cs="Times New Roman" w:hAnsi="Times New Roman"/>
          <w:sz w:val="20"/>
          <w:szCs w:val="20"/>
        </w:rPr>
        <w:t>odels were developed to assess the relation between eac</w:t>
      </w:r>
      <w:r>
        <w:rPr>
          <w:rFonts w:ascii="Times New Roman" w:cs="Times New Roman" w:hAnsi="Times New Roman"/>
          <w:sz w:val="20"/>
          <w:szCs w:val="20"/>
        </w:rPr>
        <w:t>h covariate</w:t>
      </w:r>
      <w:r>
        <w:rPr>
          <w:rFonts w:ascii="Times New Roman" w:cs="Times New Roman" w:hAnsi="Times New Roman"/>
          <w:sz w:val="20"/>
          <w:szCs w:val="20"/>
        </w:rPr>
        <w:t xml:space="preserve"> survival status and the</w:t>
      </w:r>
      <w:r>
        <w:rPr>
          <w:rFonts w:ascii="Times New Roman" w:cs="Times New Roman" w:hAnsi="Times New Roman"/>
          <w:sz w:val="20"/>
          <w:szCs w:val="20"/>
        </w:rPr>
        <w:t>ir</w:t>
      </w:r>
      <w:r>
        <w:rPr>
          <w:rFonts w:ascii="Times New Roman" w:cs="Times New Roman" w:hAnsi="Times New Roman"/>
          <w:sz w:val="20"/>
          <w:szCs w:val="20"/>
        </w:rPr>
        <w:t xml:space="preserve"> selected variables. </w:t>
      </w:r>
      <w:r>
        <w:rPr>
          <w:rFonts w:ascii="Times New Roman" w:cs="Times New Roman" w:hAnsi="Times New Roman"/>
          <w:sz w:val="20"/>
          <w:szCs w:val="20"/>
        </w:rPr>
        <w:t>The result of multivariate Cox p</w:t>
      </w:r>
      <w:r>
        <w:rPr>
          <w:rFonts w:ascii="Times New Roman" w:cs="Times New Roman" w:hAnsi="Times New Roman"/>
          <w:sz w:val="20"/>
          <w:szCs w:val="20"/>
        </w:rPr>
        <w:t>roportiona</w:t>
      </w:r>
      <w:r>
        <w:rPr>
          <w:rFonts w:ascii="Times New Roman" w:cs="Times New Roman" w:hAnsi="Times New Roman"/>
          <w:sz w:val="20"/>
          <w:szCs w:val="20"/>
        </w:rPr>
        <w:t>l hazards regression m</w:t>
      </w:r>
      <w:r>
        <w:rPr>
          <w:rFonts w:ascii="Times New Roman" w:cs="Times New Roman" w:hAnsi="Times New Roman"/>
          <w:sz w:val="20"/>
          <w:szCs w:val="20"/>
        </w:rPr>
        <w:t>odel showed that baseline weight, ART adherence, baseline CD4 cou</w:t>
      </w:r>
      <w:r>
        <w:rPr>
          <w:rFonts w:ascii="Times New Roman" w:cs="Times New Roman" w:hAnsi="Times New Roman"/>
          <w:sz w:val="20"/>
          <w:szCs w:val="20"/>
        </w:rPr>
        <w:t>nt, WHO clinical stage, education level</w:t>
      </w:r>
      <w:r>
        <w:rPr>
          <w:rFonts w:ascii="Times New Roman" w:cs="Times New Roman" w:hAnsi="Times New Roman"/>
          <w:sz w:val="20"/>
          <w:szCs w:val="20"/>
        </w:rPr>
        <w:t>, substance and TB co-infection of patient were the major factors that affect the survival probability of HIV</w:t>
      </w:r>
      <w:r>
        <w:rPr>
          <w:rFonts w:ascii="Times New Roman" w:cs="Times New Roman" w:hAnsi="Times New Roman"/>
          <w:sz w:val="20"/>
          <w:szCs w:val="20"/>
        </w:rPr>
        <w:t xml:space="preserve"> infected patients</w:t>
      </w:r>
      <w:r>
        <w:rPr>
          <w:rFonts w:ascii="Times New Roman" w:cs="Times New Roman" w:hAnsi="Times New Roman"/>
          <w:sz w:val="20"/>
          <w:szCs w:val="20"/>
        </w:rPr>
        <w:t xml:space="preserve">. In the other hand it was found that factors which had no significant impact on the survival of HIV patients were gender, age group, residence of patients, marital status, functional status and drug regimen of patients. </w:t>
      </w:r>
    </w:p>
    <w:p>
      <w:pPr>
        <w:pStyle w:val="style0"/>
        <w:autoSpaceDE w:val="false"/>
        <w:autoSpaceDN w:val="false"/>
        <w:adjustRightInd w:val="false"/>
        <w:spacing w:before="240" w:after="0" w:lineRule="auto" w:line="240"/>
        <w:ind w:firstLine="270" w:left="-270"/>
        <w:jc w:val="both"/>
        <w:rPr>
          <w:rFonts w:ascii="Times New Roman" w:cs="Times New Roman" w:hAnsi="Times New Roman"/>
          <w:sz w:val="20"/>
          <w:szCs w:val="20"/>
        </w:rPr>
      </w:pPr>
      <w:r>
        <w:rPr>
          <w:rFonts w:ascii="Times New Roman" w:cs="Times New Roman" w:hAnsi="Times New Roman"/>
          <w:sz w:val="20"/>
          <w:szCs w:val="20"/>
        </w:rPr>
        <w:t>For modeling time to death of HIV patients Exponential, Weibull, lognormal and log logistic parametric regression models were applied. Among these using Cox-Snell residuals plot and AIC for model comparison, the Weibull</w:t>
      </w:r>
      <w:r>
        <w:rPr>
          <w:rFonts w:ascii="Times New Roman" w:cs="Times New Roman" w:hAnsi="Times New Roman"/>
          <w:sz w:val="20"/>
          <w:szCs w:val="20"/>
        </w:rPr>
        <w:t xml:space="preserve"> survival regression</w:t>
      </w:r>
      <w:r>
        <w:rPr>
          <w:rFonts w:ascii="Times New Roman" w:cs="Times New Roman" w:hAnsi="Times New Roman"/>
          <w:sz w:val="20"/>
          <w:szCs w:val="20"/>
        </w:rPr>
        <w:t xml:space="preserve"> model was</w:t>
      </w:r>
      <w:r>
        <w:rPr>
          <w:rFonts w:ascii="Times New Roman" w:cs="Times New Roman" w:hAnsi="Times New Roman"/>
          <w:sz w:val="20"/>
          <w:szCs w:val="20"/>
        </w:rPr>
        <w:t xml:space="preserve"> better fitte</w:t>
      </w:r>
      <w:r>
        <w:rPr>
          <w:rFonts w:ascii="Times New Roman" w:cs="Times New Roman" w:hAnsi="Times New Roman"/>
          <w:sz w:val="20"/>
          <w:szCs w:val="20"/>
        </w:rPr>
        <w:t xml:space="preserve">d </w:t>
      </w:r>
      <w:r>
        <w:rPr>
          <w:rFonts w:ascii="Times New Roman" w:cs="Times New Roman" w:hAnsi="Times New Roman"/>
          <w:sz w:val="20"/>
          <w:szCs w:val="20"/>
        </w:rPr>
        <w:t>model</w:t>
      </w:r>
      <w:r>
        <w:rPr>
          <w:rFonts w:ascii="Times New Roman" w:cs="Times New Roman" w:hAnsi="Times New Roman"/>
          <w:sz w:val="20"/>
          <w:szCs w:val="20"/>
        </w:rPr>
        <w:t xml:space="preserve"> for</w:t>
      </w:r>
      <w:r>
        <w:rPr>
          <w:rFonts w:ascii="Times New Roman" w:cs="Times New Roman" w:hAnsi="Times New Roman"/>
          <w:sz w:val="20"/>
          <w:szCs w:val="20"/>
        </w:rPr>
        <w:t xml:space="preserve"> time to death of </w:t>
      </w:r>
      <w:r>
        <w:rPr>
          <w:rFonts w:ascii="Times New Roman" w:cs="Times New Roman" w:hAnsi="Times New Roman"/>
          <w:sz w:val="20"/>
          <w:szCs w:val="20"/>
        </w:rPr>
        <w:t>HIV infected patients in case of</w:t>
      </w:r>
      <w:r>
        <w:rPr>
          <w:rFonts w:ascii="Times New Roman" w:cs="Times New Roman" w:hAnsi="Times New Roman"/>
          <w:sz w:val="20"/>
          <w:szCs w:val="20"/>
        </w:rPr>
        <w:t xml:space="preserve"> </w:t>
      </w:r>
      <w:r>
        <w:rPr>
          <w:rFonts w:ascii="Times New Roman" w:cs="Times New Roman" w:hAnsi="Times New Roman"/>
          <w:iCs/>
          <w:sz w:val="20"/>
          <w:szCs w:val="20"/>
        </w:rPr>
        <w:t>Hossana Queen Elleni</w:t>
      </w:r>
      <w:r>
        <w:rPr>
          <w:rFonts w:ascii="Times New Roman" w:cs="Times New Roman" w:hAnsi="Times New Roman"/>
          <w:iCs/>
          <w:sz w:val="20"/>
          <w:szCs w:val="20"/>
        </w:rPr>
        <w:t xml:space="preserve"> </w:t>
      </w:r>
      <w:r>
        <w:rPr>
          <w:rFonts w:ascii="Times New Roman" w:cs="Times New Roman" w:hAnsi="Times New Roman"/>
          <w:iCs/>
          <w:sz w:val="20"/>
          <w:szCs w:val="20"/>
        </w:rPr>
        <w:t>Mohamad</w:t>
      </w:r>
      <w:r>
        <w:rPr>
          <w:rFonts w:ascii="Times New Roman" w:cs="Times New Roman" w:hAnsi="Times New Roman"/>
          <w:iCs/>
          <w:sz w:val="20"/>
          <w:szCs w:val="20"/>
        </w:rPr>
        <w:t xml:space="preserve"> </w:t>
      </w:r>
      <w:r>
        <w:rPr>
          <w:rFonts w:ascii="Times New Roman" w:cs="Times New Roman" w:hAnsi="Times New Roman"/>
          <w:iCs/>
          <w:sz w:val="20"/>
          <w:szCs w:val="20"/>
        </w:rPr>
        <w:t>Memorial Hospital</w:t>
      </w:r>
      <w:r>
        <w:rPr>
          <w:rFonts w:ascii="Times New Roman" w:cs="Times New Roman" w:hAnsi="Times New Roman"/>
          <w:sz w:val="20"/>
          <w:szCs w:val="20"/>
        </w:rPr>
        <w:t xml:space="preserve"> than the</w:t>
      </w:r>
      <w:r>
        <w:rPr>
          <w:rFonts w:ascii="Times New Roman" w:cs="Times New Roman" w:hAnsi="Times New Roman"/>
          <w:sz w:val="20"/>
          <w:szCs w:val="20"/>
        </w:rPr>
        <w:t xml:space="preserve"> other</w:t>
      </w:r>
      <w:r>
        <w:rPr>
          <w:rFonts w:ascii="Times New Roman" w:cs="Times New Roman" w:hAnsi="Times New Roman"/>
          <w:sz w:val="20"/>
          <w:szCs w:val="20"/>
        </w:rPr>
        <w:t xml:space="preserve"> remaining parametric models.</w:t>
      </w:r>
      <w:r>
        <w:rPr>
          <w:rFonts w:ascii="Times New Roman" w:cs="Times New Roman" w:hAnsi="Times New Roman"/>
          <w:iCs/>
          <w:sz w:val="20"/>
          <w:szCs w:val="20"/>
        </w:rPr>
        <w:t>The Weibull regression model results revealed that</w:t>
      </w:r>
      <w:r>
        <w:rPr>
          <w:rFonts w:ascii="Times New Roman" w:cs="Times New Roman" w:hAnsi="Times New Roman"/>
          <w:sz w:val="20"/>
          <w:szCs w:val="20"/>
        </w:rPr>
        <w:t xml:space="preserve"> baseline weight&lt;50 kg</w:t>
      </w:r>
      <w:r>
        <w:rPr>
          <w:rFonts w:ascii="Times New Roman" w:cs="Times New Roman" w:eastAsia="TimesNewRomanPSMT" w:hAnsi="Times New Roman"/>
          <w:sz w:val="20"/>
          <w:szCs w:val="20"/>
        </w:rPr>
        <w:t>, low CD4 count at baseline</w:t>
      </w:r>
      <w:r>
        <w:rPr>
          <w:rFonts w:ascii="Times New Roman" w:cs="Times New Roman" w:hAnsi="Times New Roman"/>
          <w:sz w:val="20"/>
          <w:szCs w:val="20"/>
        </w:rPr>
        <w:t xml:space="preserve">, no education, WHO stages III and IV, poor ART adherence, </w:t>
      </w:r>
      <w:r>
        <w:rPr>
          <w:rFonts w:ascii="Times New Roman" w:cs="Times New Roman" w:eastAsia="TimesNewRomanPSMT" w:hAnsi="Times New Roman"/>
          <w:sz w:val="20"/>
          <w:szCs w:val="20"/>
        </w:rPr>
        <w:t xml:space="preserve">co-infection with TB and substance abuse </w:t>
      </w:r>
      <w:r>
        <w:rPr>
          <w:rFonts w:ascii="Times New Roman" w:cs="Times New Roman" w:hAnsi="Times New Roman"/>
          <w:sz w:val="20"/>
          <w:szCs w:val="20"/>
        </w:rPr>
        <w:t>are the categories that reduce the survival probability of HIV infected patients</w:t>
      </w:r>
      <w:r>
        <w:rPr>
          <w:rFonts w:ascii="Times New Roman" w:cs="Times New Roman" w:hAnsi="Times New Roman"/>
          <w:sz w:val="20"/>
          <w:szCs w:val="20"/>
        </w:rPr>
        <w:t xml:space="preserve"> </w:t>
      </w:r>
      <w:r>
        <w:rPr>
          <w:rFonts w:ascii="Times New Roman" w:cs="Times New Roman" w:hAnsi="Times New Roman"/>
          <w:i/>
          <w:sz w:val="20"/>
          <w:szCs w:val="20"/>
        </w:rPr>
        <w:t>.</w:t>
      </w:r>
      <w:r>
        <w:rPr>
          <w:rFonts w:ascii="Times New Roman" w:cs="Times New Roman" w:hAnsi="Times New Roman"/>
          <w:sz w:val="20"/>
          <w:szCs w:val="20"/>
        </w:rPr>
        <w:t xml:space="preserve">Finally, The Weibull </w:t>
      </w:r>
      <w:r>
        <w:rPr>
          <w:rFonts w:ascii="Times New Roman" w:cs="Times New Roman" w:hAnsi="Times New Roman"/>
          <w:sz w:val="20"/>
          <w:szCs w:val="20"/>
        </w:rPr>
        <w:t xml:space="preserve">survival </w:t>
      </w:r>
      <w:r>
        <w:rPr>
          <w:rFonts w:ascii="Times New Roman" w:cs="Times New Roman" w:hAnsi="Times New Roman"/>
          <w:sz w:val="20"/>
          <w:szCs w:val="20"/>
        </w:rPr>
        <w:t xml:space="preserve">regression model provides better predictions to the survival probability of HIV </w:t>
      </w:r>
      <w:r>
        <w:rPr>
          <w:rFonts w:ascii="Times New Roman" w:cs="Times New Roman" w:hAnsi="Times New Roman"/>
          <w:sz w:val="20"/>
          <w:szCs w:val="20"/>
        </w:rPr>
        <w:t>patients.</w:t>
      </w:r>
    </w:p>
    <w:bookmarkStart w:id="493" w:name="_Toc450285352"/>
    <w:bookmarkStart w:id="494" w:name="_Toc450288378"/>
    <w:bookmarkStart w:id="495" w:name="_Toc450292827"/>
    <w:bookmarkStart w:id="496" w:name="_Toc450294554"/>
    <w:bookmarkStart w:id="497" w:name="_Toc450294937"/>
    <w:bookmarkStart w:id="498" w:name="_Toc450724194"/>
    <w:bookmarkStart w:id="499" w:name="_Toc450724439"/>
    <w:bookmarkStart w:id="500" w:name="_Toc451494752"/>
    <w:bookmarkStart w:id="501" w:name="_Toc451496346"/>
    <w:bookmarkStart w:id="502" w:name="_Toc451496849"/>
    <w:bookmarkStart w:id="503" w:name="_Toc451522897"/>
    <w:bookmarkStart w:id="504" w:name="_Toc451742135"/>
    <w:bookmarkStart w:id="505" w:name="_Toc451742876"/>
    <w:bookmarkStart w:id="506" w:name="_Toc452191135"/>
    <w:bookmarkStart w:id="507" w:name="_Toc452191684"/>
    <w:bookmarkStart w:id="508" w:name="_Toc452195105"/>
    <w:p>
      <w:pPr>
        <w:pStyle w:val="style4097"/>
        <w:spacing w:before="240"/>
        <w:ind w:firstLine="270" w:left="-270" w:right="144"/>
        <w:outlineLvl w:val="1"/>
        <w:rPr>
          <w:rFonts w:ascii="Times New Roman" w:cs="Times New Roman" w:hAnsi="Times New Roman"/>
          <w:sz w:val="20"/>
          <w:szCs w:val="20"/>
        </w:rPr>
      </w:pPr>
      <w:r>
        <w:rPr>
          <w:rFonts w:ascii="Times New Roman" w:cs="Times New Roman" w:hAnsi="Times New Roman"/>
          <w:b/>
          <w:bCs/>
          <w:sz w:val="20"/>
          <w:szCs w:val="20"/>
        </w:rPr>
        <w:t xml:space="preserve">5.2. </w:t>
      </w:r>
      <w:r>
        <w:rPr>
          <w:rFonts w:ascii="Times New Roman" w:cs="Times New Roman" w:hAnsi="Times New Roman"/>
          <w:b/>
          <w:bCs/>
          <w:sz w:val="20"/>
          <w:szCs w:val="20"/>
        </w:rPr>
        <w:t>Recommendation</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style4097"/>
        <w:ind w:firstLine="270" w:left="-270"/>
        <w:jc w:val="both"/>
        <w:rPr>
          <w:rFonts w:ascii="Times New Roman" w:cs="Times New Roman" w:hAnsi="Times New Roman"/>
          <w:sz w:val="20"/>
          <w:szCs w:val="20"/>
        </w:rPr>
      </w:pPr>
      <w:r>
        <w:rPr>
          <w:rFonts w:ascii="Times New Roman" w:cs="Times New Roman" w:hAnsi="Times New Roman"/>
          <w:bCs/>
          <w:sz w:val="20"/>
          <w:szCs w:val="20"/>
        </w:rPr>
        <w:t>Based on this study finding, the following recommendations can be forwarded</w:t>
      </w:r>
      <w:r>
        <w:rPr>
          <w:rFonts w:ascii="Times New Roman" w:cs="Times New Roman" w:hAnsi="Times New Roman"/>
          <w:sz w:val="20"/>
          <w:szCs w:val="20"/>
        </w:rPr>
        <w:t xml:space="preserve"> for government program planners, decision makers, ART program implementers at different level and other stakeholder who work in the areas of giving care, support and treatment for HIV/AIDS patients.  Health workers should be cautious when a patient has lower baseline CD4 and lower baseline weight. Health workers need to </w:t>
      </w:r>
      <w:r>
        <w:rPr>
          <w:rFonts w:ascii="Times New Roman" w:cs="Times New Roman" w:hAnsi="Times New Roman"/>
          <w:sz w:val="20"/>
          <w:szCs w:val="20"/>
        </w:rPr>
        <w:t>support those</w:t>
      </w:r>
      <w:r>
        <w:rPr>
          <w:rFonts w:ascii="Times New Roman" w:cs="Times New Roman" w:hAnsi="Times New Roman"/>
          <w:sz w:val="20"/>
          <w:szCs w:val="20"/>
        </w:rPr>
        <w:t xml:space="preserve"> patients with no or little education by continuous awareness creation of taking care of themselves and knowing what factors facilitate death.</w:t>
      </w:r>
      <w:r>
        <w:rPr>
          <w:rFonts w:ascii="Times New Roman" w:cs="Times New Roman" w:hAnsi="Times New Roman"/>
          <w:sz w:val="20"/>
          <w:szCs w:val="20"/>
        </w:rPr>
        <w:t xml:space="preserve"> Hence, education level of</w:t>
      </w:r>
      <w:r>
        <w:rPr>
          <w:rFonts w:ascii="Times New Roman" w:cs="Times New Roman" w:hAnsi="Times New Roman"/>
          <w:sz w:val="20"/>
          <w:szCs w:val="20"/>
        </w:rPr>
        <w:t xml:space="preserve"> the patients has an important role in increasing their quality of life.</w:t>
      </w:r>
    </w:p>
    <w:p>
      <w:pPr>
        <w:pStyle w:val="style4097"/>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Prompt initiation of TB treatment in order to r</w:t>
      </w:r>
      <w:r>
        <w:rPr>
          <w:rFonts w:ascii="Times New Roman" w:cs="Times New Roman" w:hAnsi="Times New Roman"/>
          <w:sz w:val="20"/>
          <w:szCs w:val="20"/>
        </w:rPr>
        <w:t>educe patient mortality and Patients who drink alcohol need to be given advice to reduce excessive drinking.</w:t>
      </w:r>
      <w:r>
        <w:rPr>
          <w:rFonts w:ascii="Times New Roman" w:cs="Times New Roman" w:hAnsi="Times New Roman"/>
          <w:sz w:val="20"/>
          <w:szCs w:val="20"/>
        </w:rPr>
        <w:t xml:space="preserve"> And also Careful follow up for poorly adhered patients and giving them drug counseling is crucial to improve survival</w:t>
      </w:r>
      <w:r>
        <w:rPr>
          <w:rFonts w:ascii="Times New Roman" w:cs="Times New Roman" w:hAnsi="Times New Roman"/>
          <w:sz w:val="20"/>
          <w:szCs w:val="20"/>
        </w:rPr>
        <w:t>.</w:t>
      </w:r>
      <w:r>
        <w:rPr>
          <w:rFonts w:ascii="Times New Roman" w:cs="Times New Roman" w:hAnsi="Times New Roman"/>
          <w:sz w:val="20"/>
          <w:szCs w:val="20"/>
        </w:rPr>
        <w:t xml:space="preserve"> Integrating the HIV care with other developmental organizations like NGOs, Religious leaders and community supporters. </w:t>
      </w:r>
    </w:p>
    <w:p>
      <w:pPr>
        <w:pStyle w:val="style4097"/>
        <w:jc w:val="both"/>
        <w:rPr>
          <w:rFonts w:ascii="Times New Roman" w:cs="Times New Roman" w:hAnsi="Times New Roman"/>
          <w:sz w:val="20"/>
          <w:szCs w:val="20"/>
        </w:rPr>
      </w:pPr>
      <w:r>
        <w:rPr>
          <w:rFonts w:ascii="Times New Roman" w:cs="Times New Roman" w:eastAsia="TimesNewRomanPSMT" w:hAnsi="Times New Roman"/>
          <w:sz w:val="20"/>
          <w:szCs w:val="20"/>
        </w:rPr>
        <w:t xml:space="preserve">     </w:t>
      </w:r>
      <w:r>
        <w:rPr>
          <w:rFonts w:ascii="Times New Roman" w:cs="Times New Roman" w:eastAsia="TimesNewRomanPSMT" w:hAnsi="Times New Roman"/>
          <w:sz w:val="20"/>
          <w:szCs w:val="20"/>
        </w:rPr>
        <w:t xml:space="preserve">For </w:t>
      </w:r>
      <w:r>
        <w:rPr>
          <w:rFonts w:ascii="Times New Roman" w:cs="Times New Roman" w:eastAsia="TimesNewRomanPSMT" w:hAnsi="Times New Roman"/>
          <w:sz w:val="20"/>
          <w:szCs w:val="20"/>
        </w:rPr>
        <w:t>H</w:t>
      </w:r>
      <w:r>
        <w:rPr>
          <w:rFonts w:ascii="Times New Roman" w:cs="Times New Roman" w:eastAsia="TimesNewRomanPSMT" w:hAnsi="Times New Roman"/>
          <w:sz w:val="20"/>
          <w:szCs w:val="20"/>
        </w:rPr>
        <w:t>ealth workers, peer educators, data clerks and</w:t>
      </w:r>
      <w:r>
        <w:rPr>
          <w:rFonts w:ascii="Times New Roman" w:cs="Times New Roman" w:eastAsia="TimesNewRomanPSMT" w:hAnsi="Times New Roman"/>
          <w:sz w:val="20"/>
          <w:szCs w:val="20"/>
        </w:rPr>
        <w:t xml:space="preserve"> w</w:t>
      </w:r>
      <w:r>
        <w:rPr>
          <w:rFonts w:ascii="Times New Roman" w:cs="Times New Roman" w:eastAsia="TimesNewRomanPSMT" w:hAnsi="Times New Roman"/>
          <w:sz w:val="20"/>
          <w:szCs w:val="20"/>
        </w:rPr>
        <w:t xml:space="preserve">orking with patients under ART </w:t>
      </w:r>
      <w:r>
        <w:rPr>
          <w:rFonts w:ascii="Times New Roman" w:cs="Times New Roman" w:eastAsia="TimesNewRomanPSMT" w:hAnsi="Times New Roman"/>
          <w:sz w:val="20"/>
          <w:szCs w:val="20"/>
        </w:rPr>
        <w:t xml:space="preserve">should be given special training on </w:t>
      </w:r>
      <w:r>
        <w:rPr>
          <w:rFonts w:ascii="Times New Roman" w:cs="Times New Roman" w:hAnsi="Times New Roman"/>
          <w:sz w:val="20"/>
          <w:szCs w:val="20"/>
        </w:rPr>
        <w:t xml:space="preserve">support especially on how to recognize and manage patients with high risk, and to </w:t>
      </w:r>
      <w:r>
        <w:rPr>
          <w:rFonts w:ascii="Times New Roman" w:cs="Times New Roman" w:eastAsia="TimesNewRomanPSMT" w:hAnsi="Times New Roman"/>
          <w:sz w:val="20"/>
          <w:szCs w:val="20"/>
        </w:rPr>
        <w:t>improve the quality of the data records of patients. Moreover, attempt should be made to investigate the causes of deaths that occurred out of hospitals, and mechanisms should be devised to trace patients lost to follow up.</w:t>
      </w:r>
      <w:r>
        <w:rPr>
          <w:rFonts w:ascii="Times New Roman" w:cs="Times New Roman" w:hAnsi="Times New Roman"/>
          <w:sz w:val="20"/>
          <w:szCs w:val="20"/>
        </w:rPr>
        <w:t xml:space="preserve"> </w:t>
      </w:r>
      <w:r>
        <w:rPr>
          <w:rFonts w:ascii="Times New Roman" w:cs="Times New Roman" w:hAnsi="Times New Roman" w:eastAsiaTheme="minorHAnsi"/>
          <w:sz w:val="20"/>
          <w:szCs w:val="20"/>
        </w:rPr>
        <w:t>For</w:t>
      </w:r>
      <w:r>
        <w:rPr>
          <w:rFonts w:ascii="Times New Roman" w:cs="Times New Roman" w:hAnsi="Times New Roman" w:eastAsiaTheme="minorHAnsi"/>
          <w:sz w:val="20"/>
          <w:szCs w:val="20"/>
        </w:rPr>
        <w:t xml:space="preserve"> </w:t>
      </w:r>
      <w:r>
        <w:rPr>
          <w:rFonts w:ascii="Times New Roman" w:cs="Times New Roman" w:hAnsi="Times New Roman" w:eastAsiaTheme="minorHAnsi"/>
          <w:sz w:val="20"/>
          <w:szCs w:val="20"/>
        </w:rPr>
        <w:t>f</w:t>
      </w:r>
      <w:r>
        <w:rPr>
          <w:rFonts w:ascii="Times New Roman" w:cs="Times New Roman" w:hAnsi="Times New Roman" w:eastAsiaTheme="minorHAnsi"/>
          <w:sz w:val="20"/>
          <w:szCs w:val="20"/>
        </w:rPr>
        <w:t xml:space="preserve">uture </w:t>
      </w:r>
      <w:r>
        <w:rPr>
          <w:rFonts w:ascii="Times New Roman" w:cs="Times New Roman" w:hAnsi="Times New Roman" w:eastAsiaTheme="minorHAnsi"/>
          <w:sz w:val="20"/>
          <w:szCs w:val="20"/>
        </w:rPr>
        <w:t>researchers on this area should apply</w:t>
      </w:r>
      <w:r>
        <w:rPr>
          <w:rFonts w:ascii="Times New Roman" w:cs="Times New Roman" w:hAnsi="Times New Roman" w:eastAsiaTheme="minorHAnsi"/>
          <w:sz w:val="20"/>
          <w:szCs w:val="20"/>
        </w:rPr>
        <w:t xml:space="preserve"> </w:t>
      </w:r>
      <w:r>
        <w:rPr>
          <w:rFonts w:ascii="Times New Roman" w:cs="Times New Roman" w:hAnsi="Times New Roman"/>
          <w:sz w:val="20"/>
          <w:szCs w:val="20"/>
        </w:rPr>
        <w:t>Weibull survival regression model</w:t>
      </w:r>
      <w:r>
        <w:rPr>
          <w:rFonts w:ascii="Times New Roman" w:cs="Times New Roman" w:hAnsi="Times New Roman"/>
          <w:sz w:val="20"/>
          <w:szCs w:val="20"/>
        </w:rPr>
        <w:t xml:space="preserve"> </w:t>
      </w:r>
      <w:r>
        <w:rPr>
          <w:rFonts w:ascii="Times New Roman" w:cs="Times New Roman" w:hAnsi="Times New Roman" w:eastAsiaTheme="minorHAnsi"/>
          <w:sz w:val="20"/>
          <w:szCs w:val="20"/>
        </w:rPr>
        <w:t xml:space="preserve">because </w:t>
      </w:r>
      <w:r>
        <w:rPr>
          <w:rFonts w:ascii="Times New Roman" w:cs="Times New Roman" w:hAnsi="Times New Roman" w:eastAsiaTheme="minorHAnsi"/>
          <w:color w:val="231f20"/>
          <w:sz w:val="20"/>
          <w:szCs w:val="20"/>
        </w:rPr>
        <w:t>W</w:t>
      </w:r>
      <w:r>
        <w:rPr>
          <w:rFonts w:ascii="Times New Roman" w:cs="Times New Roman" w:hAnsi="Times New Roman" w:eastAsiaTheme="minorHAnsi"/>
          <w:color w:val="231f20"/>
          <w:sz w:val="20"/>
          <w:szCs w:val="20"/>
        </w:rPr>
        <w:t xml:space="preserve">eibull distribution is unique  </w:t>
      </w:r>
      <w:r>
        <w:rPr>
          <w:rFonts w:ascii="Times New Roman" w:cs="Times New Roman" w:hAnsi="Times New Roman" w:eastAsiaTheme="minorHAnsi"/>
          <w:color w:val="231f20"/>
          <w:sz w:val="20"/>
          <w:szCs w:val="20"/>
        </w:rPr>
        <w:t xml:space="preserve">that </w:t>
      </w:r>
      <w:r>
        <w:rPr>
          <w:rFonts w:ascii="Times New Roman" w:cs="Times New Roman" w:hAnsi="Times New Roman" w:eastAsiaTheme="minorHAnsi"/>
          <w:color w:val="231f20"/>
          <w:sz w:val="20"/>
          <w:szCs w:val="20"/>
        </w:rPr>
        <w:t xml:space="preserve">means  only one that </w:t>
      </w:r>
      <w:r>
        <w:rPr>
          <w:rFonts w:ascii="Times New Roman" w:cs="Times New Roman" w:hAnsi="Times New Roman" w:eastAsiaTheme="minorHAnsi"/>
          <w:color w:val="231f20"/>
          <w:sz w:val="20"/>
          <w:szCs w:val="20"/>
        </w:rPr>
        <w:t xml:space="preserve"> simultaneously both proportional and accelerated so that both relative event rates and relative extension in survival time can be estimated</w:t>
      </w:r>
      <w:r>
        <w:rPr>
          <w:rFonts w:ascii="Times New Roman" w:cs="Times New Roman" w:hAnsi="Times New Roman" w:eastAsiaTheme="minorHAnsi"/>
          <w:color w:val="231f20"/>
          <w:sz w:val="20"/>
          <w:szCs w:val="20"/>
        </w:rPr>
        <w:t xml:space="preserve"> and </w:t>
      </w:r>
      <w:r>
        <w:rPr>
          <w:rFonts w:ascii="Times New Roman" w:cs="Times New Roman" w:hAnsi="Times New Roman" w:eastAsiaTheme="minorHAnsi"/>
          <w:sz w:val="20"/>
          <w:szCs w:val="20"/>
        </w:rPr>
        <w:t xml:space="preserve">it </w:t>
      </w:r>
      <w:r>
        <w:rPr>
          <w:rFonts w:ascii="Times New Roman" w:cs="Times New Roman" w:hAnsi="Times New Roman"/>
          <w:sz w:val="20"/>
          <w:szCs w:val="20"/>
        </w:rPr>
        <w:t>predict  the survival probability of HIV patients well</w:t>
      </w:r>
      <w:r>
        <w:rPr>
          <w:rFonts w:ascii="Times New Roman" w:cs="Times New Roman" w:hAnsi="Times New Roman"/>
          <w:sz w:val="20"/>
          <w:szCs w:val="20"/>
        </w:rPr>
        <w:t>.</w:t>
      </w:r>
    </w:p>
    <w:bookmarkStart w:id="509" w:name="_Toc450724196"/>
    <w:bookmarkStart w:id="510" w:name="_Toc450724441"/>
    <w:bookmarkStart w:id="511" w:name="_Toc451494754"/>
    <w:bookmarkStart w:id="512" w:name="_Toc451496348"/>
    <w:bookmarkStart w:id="513" w:name="_Toc451496851"/>
    <w:bookmarkStart w:id="514" w:name="_Toc451522899"/>
    <w:bookmarkStart w:id="515" w:name="_Toc451742137"/>
    <w:bookmarkStart w:id="516" w:name="_Toc451742878"/>
    <w:bookmarkStart w:id="517" w:name="_Toc452191137"/>
    <w:bookmarkStart w:id="518" w:name="_Toc452191686"/>
    <w:bookmarkStart w:id="519" w:name="_Toc452195107"/>
    <w:p>
      <w:pPr>
        <w:pStyle w:val="style4097"/>
        <w:spacing w:before="240"/>
        <w:ind w:firstLine="270" w:left="-270" w:right="90"/>
        <w:outlineLvl w:val="0"/>
        <w:rPr>
          <w:b/>
          <w:sz w:val="20"/>
          <w:szCs w:val="20"/>
        </w:rPr>
      </w:pPr>
      <w:r>
        <w:rPr>
          <w:rFonts w:ascii="Times New Roman" w:cs="Times New Roman" w:hAnsi="Times New Roman" w:eastAsiaTheme="minorHAnsi"/>
          <w:b/>
          <w:sz w:val="20"/>
          <w:szCs w:val="20"/>
        </w:rPr>
        <w:t xml:space="preserve">          </w:t>
      </w:r>
      <w:r>
        <w:rPr>
          <w:rFonts w:ascii="Times New Roman" w:cs="Times New Roman" w:hAnsi="Times New Roman" w:eastAsiaTheme="minorHAnsi"/>
          <w:b/>
          <w:sz w:val="20"/>
          <w:szCs w:val="20"/>
        </w:rPr>
        <w:t>REFERENCES</w:t>
      </w:r>
      <w:bookmarkEnd w:id="509"/>
      <w:bookmarkEnd w:id="510"/>
      <w:bookmarkEnd w:id="511"/>
      <w:bookmarkEnd w:id="512"/>
      <w:bookmarkEnd w:id="513"/>
      <w:bookmarkEnd w:id="514"/>
      <w:bookmarkEnd w:id="515"/>
      <w:bookmarkEnd w:id="516"/>
      <w:bookmarkEnd w:id="517"/>
      <w:bookmarkEnd w:id="518"/>
      <w:bookmarkEnd w:id="519"/>
    </w:p>
    <w:p>
      <w:pPr>
        <w:pStyle w:val="style4097"/>
        <w:ind w:firstLine="270" w:left="-270" w:right="144"/>
        <w:jc w:val="both"/>
        <w:rPr>
          <w:rFonts w:ascii="Times New Roman" w:cs="Times New Roman" w:eastAsia="Times New Roman" w:hAnsi="Times New Roman"/>
          <w:color w:val="000000"/>
          <w:sz w:val="20"/>
          <w:szCs w:val="20"/>
        </w:rPr>
      </w:pPr>
      <w:r>
        <w:rPr/>
        <w:fldChar w:fldCharType="begin"/>
      </w:r>
      <w:r>
        <w:instrText xml:space="preserve"> HYPERLINK "http://en.wikipedia.org/wiki/Hirotugu_Akaike" \o "Hirotugu Akaike" </w:instrText>
      </w:r>
      <w:r>
        <w:rPr/>
        <w:fldChar w:fldCharType="separate"/>
      </w:r>
      <w:r>
        <w:rPr>
          <w:rFonts w:ascii="Times New Roman" w:cs="Times New Roman" w:eastAsia="Times New Roman" w:hAnsi="Times New Roman"/>
          <w:color w:val="000000"/>
          <w:sz w:val="20"/>
          <w:szCs w:val="20"/>
        </w:rPr>
        <w:t>Akaike, H.</w:t>
      </w:r>
      <w:r>
        <w:rPr/>
        <w:fldChar w:fldCharType="end"/>
      </w:r>
      <w:r>
        <w:rPr>
          <w:rFonts w:ascii="Times New Roman" w:cs="Times New Roman" w:eastAsia="Times New Roman" w:hAnsi="Times New Roman"/>
          <w:color w:val="000000"/>
          <w:sz w:val="20"/>
          <w:szCs w:val="20"/>
        </w:rPr>
        <w:t xml:space="preserve"> (1974). </w:t>
      </w:r>
      <w:r>
        <w:rPr/>
        <w:fldChar w:fldCharType="begin"/>
      </w:r>
      <w:r>
        <w:instrText xml:space="preserve"> HYPERLINK "http://www.unt.edu/rss/class/Jon/MiscDocs/Akaike_1974.pdf" </w:instrText>
      </w:r>
      <w:r>
        <w:rPr/>
        <w:fldChar w:fldCharType="separate"/>
      </w:r>
      <w:r>
        <w:rPr>
          <w:rFonts w:ascii="Times New Roman" w:cs="Times New Roman" w:eastAsia="Times New Roman" w:hAnsi="Times New Roman"/>
          <w:color w:val="000000"/>
          <w:sz w:val="20"/>
          <w:szCs w:val="20"/>
        </w:rPr>
        <w:t>A new look at the statistical model identification"</w:t>
      </w:r>
      <w:r>
        <w:rPr/>
        <w:fldChar w:fldCharType="end"/>
      </w:r>
      <w:r>
        <w:rPr>
          <w:rFonts w:ascii="Times New Roman" w:cs="Times New Roman" w:eastAsia="Times New Roman" w:hAnsi="Times New Roman"/>
          <w:color w:val="000000"/>
          <w:sz w:val="20"/>
          <w:szCs w:val="20"/>
        </w:rPr>
        <w:t xml:space="preserve">, </w:t>
      </w:r>
      <w:r>
        <w:rPr>
          <w:rFonts w:ascii="Times New Roman" w:cs="Times New Roman" w:eastAsia="Times New Roman" w:hAnsi="Times New Roman"/>
          <w:iCs/>
          <w:color w:val="000000"/>
          <w:sz w:val="20"/>
          <w:szCs w:val="20"/>
        </w:rPr>
        <w:t xml:space="preserve">IEEE Transactions </w:t>
      </w:r>
      <w:r>
        <w:rPr>
          <w:rFonts w:ascii="Times New Roman" w:cs="Times New Roman" w:eastAsia="Times New Roman" w:hAnsi="Times New Roman"/>
          <w:iCs/>
          <w:color w:val="000000"/>
          <w:sz w:val="20"/>
          <w:szCs w:val="20"/>
        </w:rPr>
        <w:t>on</w:t>
      </w:r>
      <w:r>
        <w:rPr>
          <w:rFonts w:ascii="Times New Roman" w:cs="Times New Roman" w:eastAsia="Times New Roman" w:hAnsi="Times New Roman"/>
          <w:iCs/>
          <w:color w:val="000000"/>
          <w:sz w:val="20"/>
          <w:szCs w:val="20"/>
        </w:rPr>
        <w:t xml:space="preserve"> </w:t>
      </w:r>
      <w:r>
        <w:rPr>
          <w:rFonts w:ascii="Times New Roman" w:cs="Times New Roman" w:eastAsia="Times New Roman" w:hAnsi="Times New Roman"/>
          <w:iCs/>
          <w:color w:val="000000"/>
          <w:sz w:val="20"/>
          <w:szCs w:val="20"/>
        </w:rPr>
        <w:t>Automatic Control,</w:t>
      </w:r>
      <w:r>
        <w:rPr>
          <w:rFonts w:ascii="Times New Roman" w:cs="Times New Roman" w:eastAsia="Times New Roman" w:hAnsi="Times New Roman"/>
          <w:b/>
          <w:bCs/>
          <w:color w:val="000000"/>
          <w:sz w:val="20"/>
          <w:szCs w:val="20"/>
        </w:rPr>
        <w:t xml:space="preserve"> 19</w:t>
      </w:r>
      <w:r>
        <w:rPr>
          <w:rFonts w:ascii="Times New Roman" w:cs="Times New Roman" w:eastAsia="Times New Roman" w:hAnsi="Times New Roman"/>
          <w:color w:val="000000"/>
          <w:sz w:val="20"/>
          <w:szCs w:val="20"/>
        </w:rPr>
        <w:t xml:space="preserve"> (6): 716–</w:t>
      </w:r>
    </w:p>
    <w:p>
      <w:pPr>
        <w:pStyle w:val="style4097"/>
        <w:ind w:firstLine="270" w:left="-270" w:right="144"/>
        <w:jc w:val="both"/>
        <w:rPr>
          <w:rFonts w:ascii="Times New Roman" w:cs="Times New Roman" w:hAnsi="Times New Roman"/>
          <w:sz w:val="20"/>
          <w:szCs w:val="20"/>
        </w:rPr>
      </w:pPr>
      <w:r>
        <w:rPr>
          <w:rFonts w:ascii="Times New Roman" w:cs="Times New Roman" w:eastAsia="Times New Roman" w:hAnsi="Times New Roman"/>
          <w:color w:val="000000"/>
          <w:sz w:val="20"/>
          <w:szCs w:val="20"/>
        </w:rPr>
        <w:t xml:space="preserve">                               </w:t>
      </w:r>
      <w:r>
        <w:rPr>
          <w:rFonts w:ascii="Times New Roman" w:cs="Times New Roman" w:eastAsia="Times New Roman" w:hAnsi="Times New Roman"/>
          <w:color w:val="000000"/>
          <w:sz w:val="20"/>
          <w:szCs w:val="20"/>
        </w:rPr>
        <w:t xml:space="preserve">723, </w:t>
      </w:r>
      <w:r>
        <w:rPr/>
        <w:fldChar w:fldCharType="begin"/>
      </w:r>
      <w:r>
        <w:instrText xml:space="preserve"> HYPERLINK "http://en.wikipedia.org/wiki/Digital_object_identifier" \o "Digital object identifier" </w:instrText>
      </w:r>
      <w:r>
        <w:rPr/>
        <w:fldChar w:fldCharType="separate"/>
      </w:r>
      <w:r>
        <w:rPr>
          <w:rFonts w:ascii="Times New Roman" w:cs="Times New Roman" w:eastAsia="Times New Roman" w:hAnsi="Times New Roman"/>
          <w:color w:val="000000"/>
          <w:sz w:val="20"/>
          <w:szCs w:val="20"/>
        </w:rPr>
        <w:t>doi</w:t>
      </w:r>
      <w:r>
        <w:rPr/>
        <w:fldChar w:fldCharType="end"/>
      </w:r>
      <w:r>
        <w:rPr>
          <w:rFonts w:ascii="Times New Roman" w:cs="Times New Roman" w:eastAsia="Times New Roman" w:hAnsi="Times New Roman"/>
          <w:color w:val="000000"/>
          <w:sz w:val="20"/>
          <w:szCs w:val="20"/>
        </w:rPr>
        <w:t>:</w:t>
      </w:r>
      <w:r>
        <w:rPr/>
        <w:fldChar w:fldCharType="begin"/>
      </w:r>
      <w:r>
        <w:instrText xml:space="preserve"> HYPERLINK "http://dx.doi.org/10.1109%2FTAC.1974.1100705" </w:instrText>
      </w:r>
      <w:r>
        <w:rPr/>
        <w:fldChar w:fldCharType="separate"/>
      </w:r>
      <w:r>
        <w:rPr>
          <w:rFonts w:ascii="Times New Roman" w:cs="Times New Roman" w:eastAsia="Times New Roman" w:hAnsi="Times New Roman"/>
          <w:color w:val="000000"/>
          <w:sz w:val="20"/>
          <w:szCs w:val="20"/>
        </w:rPr>
        <w:t>10.1109/TAC.1974.1100705</w:t>
      </w:r>
      <w:r>
        <w:rPr/>
        <w:fldChar w:fldCharType="end"/>
      </w:r>
      <w:r>
        <w:rPr>
          <w:rFonts w:ascii="Times New Roman" w:cs="Times New Roman" w:eastAsia="Times New Roman" w:hAnsi="Times New Roman"/>
          <w:color w:val="000000"/>
          <w:sz w:val="20"/>
          <w:szCs w:val="20"/>
        </w:rPr>
        <w:t xml:space="preserve">, </w:t>
      </w:r>
      <w:r>
        <w:rPr/>
        <w:fldChar w:fldCharType="begin"/>
      </w:r>
      <w:r>
        <w:instrText xml:space="preserve"> HYPERLINK "http://en.wikipedia.org/wiki/Mathematical_Reviews" \o "Mathematical Reviews" </w:instrText>
      </w:r>
      <w:r>
        <w:rPr/>
        <w:fldChar w:fldCharType="separate"/>
      </w:r>
      <w:r>
        <w:rPr>
          <w:rFonts w:ascii="Times New Roman" w:cs="Times New Roman" w:eastAsia="Times New Roman" w:hAnsi="Times New Roman"/>
          <w:color w:val="000000"/>
          <w:sz w:val="20"/>
          <w:szCs w:val="20"/>
        </w:rPr>
        <w:t>MR</w:t>
      </w:r>
      <w:r>
        <w:rPr/>
        <w:fldChar w:fldCharType="end"/>
      </w:r>
      <w:r>
        <w:rPr>
          <w:rFonts w:ascii="Times New Roman" w:cs="Times New Roman" w:eastAsia="Times New Roman" w:hAnsi="Times New Roman"/>
          <w:color w:val="000000"/>
          <w:sz w:val="20"/>
          <w:szCs w:val="20"/>
        </w:rPr>
        <w:t> </w:t>
      </w:r>
      <w:r>
        <w:rPr/>
        <w:fldChar w:fldCharType="begin"/>
      </w:r>
      <w:r>
        <w:instrText xml:space="preserve"> HYPERLINK "http://www.ams.org/mathscinet-getitem?mr=0423716" </w:instrText>
      </w:r>
      <w:r>
        <w:rPr/>
        <w:fldChar w:fldCharType="separate"/>
      </w:r>
      <w:r>
        <w:rPr>
          <w:rFonts w:ascii="Times New Roman" w:cs="Times New Roman" w:eastAsia="Times New Roman" w:hAnsi="Times New Roman"/>
          <w:color w:val="000000"/>
          <w:sz w:val="20"/>
          <w:szCs w:val="20"/>
        </w:rPr>
        <w:t>0423716</w:t>
      </w:r>
      <w:r>
        <w:rPr/>
        <w:fldChar w:fldCharType="end"/>
      </w:r>
      <w:r>
        <w:rPr>
          <w:rFonts w:ascii="Times New Roman" w:cs="Times New Roman" w:hAnsi="Times New Roman"/>
          <w:sz w:val="20"/>
          <w:szCs w:val="20"/>
        </w:rPr>
        <w:t>.</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Bijaria, S. (2008).Dynamics of Naïve and Memory CD4+ T Lymphocytes in HIV-1 Disease</w:t>
      </w:r>
      <w:r>
        <w:rPr>
          <w:rFonts w:ascii="Times New Roman" w:cs="Times New Roman" w:hAnsi="Times New Roman"/>
          <w:sz w:val="20"/>
          <w:szCs w:val="20"/>
        </w:rPr>
        <w:t xml:space="preserve"> </w:t>
      </w:r>
      <w:r>
        <w:rPr>
          <w:rFonts w:ascii="Times New Roman" w:cs="Times New Roman" w:hAnsi="Times New Roman"/>
          <w:sz w:val="20"/>
          <w:szCs w:val="20"/>
        </w:rPr>
        <w:t>Progression. Journal of Acquired</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 Immune Deficiency Syndrome, </w:t>
      </w:r>
      <w:r>
        <w:rPr>
          <w:rFonts w:ascii="Times New Roman" w:cs="Times New Roman" w:hAnsi="Times New Roman"/>
          <w:b/>
          <w:bCs/>
          <w:sz w:val="20"/>
          <w:szCs w:val="20"/>
        </w:rPr>
        <w:t>30</w:t>
      </w:r>
      <w:r>
        <w:rPr>
          <w:rFonts w:ascii="Times New Roman" w:cs="Times New Roman" w:hAnsi="Times New Roman"/>
          <w:sz w:val="20"/>
          <w:szCs w:val="20"/>
        </w:rPr>
        <w:t>:41-58.</w:t>
      </w:r>
    </w:p>
    <w:p>
      <w:pPr>
        <w:pStyle w:val="style0"/>
        <w:autoSpaceDE w:val="false"/>
        <w:autoSpaceDN w:val="false"/>
        <w:adjustRightInd w:val="false"/>
        <w:spacing w:after="0" w:lineRule="auto" w:line="240"/>
        <w:ind w:firstLine="270" w:left="-270" w:right="144"/>
        <w:jc w:val="both"/>
        <w:rPr>
          <w:rFonts w:ascii="Times New Roman" w:cs="Times New Roman" w:hAnsi="Times New Roman" w:eastAsiaTheme="minorHAnsi"/>
          <w:color w:val="000000"/>
          <w:sz w:val="20"/>
          <w:szCs w:val="20"/>
        </w:rPr>
      </w:pPr>
      <w:r>
        <w:rPr>
          <w:rFonts w:ascii="Times New Roman" w:cs="Times New Roman" w:hAnsi="Times New Roman"/>
          <w:sz w:val="20"/>
          <w:szCs w:val="20"/>
        </w:rPr>
        <w:t>Breslow, N. (1974). Covariance analysis of censored survival data.Biometric 30 (1974), 89.100</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Cain, K. </w:t>
      </w:r>
      <w:r>
        <w:rPr>
          <w:rFonts w:ascii="Times New Roman" w:cs="Times New Roman" w:hAnsi="Times New Roman"/>
          <w:sz w:val="20"/>
          <w:szCs w:val="20"/>
        </w:rPr>
        <w:t>and Lange, N. (2003).  Approximate case impudence for the proportional hazards</w:t>
      </w:r>
      <w:r>
        <w:rPr>
          <w:rFonts w:ascii="Times New Roman" w:cs="Times New Roman" w:hAnsi="Times New Roman"/>
          <w:sz w:val="20"/>
          <w:szCs w:val="20"/>
        </w:rPr>
        <w:t xml:space="preserve"> </w:t>
      </w:r>
      <w:r>
        <w:rPr>
          <w:rFonts w:ascii="Times New Roman" w:cs="Times New Roman" w:hAnsi="Times New Roman"/>
          <w:sz w:val="20"/>
          <w:szCs w:val="20"/>
        </w:rPr>
        <w:t xml:space="preserve">Regression.Approximate case </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influence for the proportional hazards Regression model </w:t>
      </w:r>
      <w:r>
        <w:rPr>
          <w:rFonts w:ascii="Times New Roman" w:cs="Times New Roman" w:hAnsi="Times New Roman"/>
          <w:sz w:val="20"/>
          <w:szCs w:val="20"/>
        </w:rPr>
        <w:t xml:space="preserve">with censored data. </w:t>
      </w:r>
      <w:r>
        <w:rPr>
          <w:rFonts w:ascii="Times New Roman" w:cs="Times New Roman" w:hAnsi="Times New Roman"/>
          <w:sz w:val="20"/>
          <w:szCs w:val="20"/>
        </w:rPr>
        <w:t>Biometrika40 , 493-499.</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Cox, C.(1998). Delta method  in Encyclopedia of Biostatistics P. Armitage and T. Colton, Eds., vol.2, pp. 1125.1127.74.</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p>
    <w:p>
      <w:pPr>
        <w:pStyle w:val="style0"/>
        <w:autoSpaceDE w:val="false"/>
        <w:autoSpaceDN w:val="false"/>
        <w:adjustRightInd w:val="false"/>
        <w:spacing w:after="0" w:lineRule="auto" w:line="240"/>
        <w:ind w:firstLine="270" w:left="-270" w:right="144"/>
        <w:jc w:val="both"/>
        <w:rPr>
          <w:rFonts w:ascii="Times New Roman" w:cs="Times New Roman" w:hAnsi="Times New Roman" w:eastAsiaTheme="minorHAnsi"/>
          <w:sz w:val="20"/>
          <w:szCs w:val="20"/>
        </w:rPr>
      </w:pPr>
      <w:r>
        <w:rPr>
          <w:rFonts w:ascii="Times New Roman" w:cs="Times New Roman" w:hAnsi="Times New Roman"/>
          <w:sz w:val="20"/>
          <w:szCs w:val="20"/>
        </w:rPr>
        <w:t xml:space="preserve">Efron </w:t>
      </w:r>
      <w:r>
        <w:rPr>
          <w:rFonts w:ascii="Times New Roman" w:cs="Times New Roman" w:hAnsi="Times New Roman"/>
          <w:sz w:val="20"/>
          <w:szCs w:val="20"/>
        </w:rPr>
        <w:t>,B. (1977).  The efficiency of Cox‟s likelihood function for censored data.; 72: 557-65.</w:t>
      </w:r>
      <w:r>
        <w:rPr>
          <w:rFonts w:ascii="Times New Roman" w:cs="Times New Roman" w:hAnsi="Times New Roman" w:eastAsiaTheme="minorHAnsi"/>
          <w:i/>
          <w:iCs/>
          <w:sz w:val="20"/>
          <w:szCs w:val="20"/>
        </w:rPr>
        <w:t>Ethiop. J. Health Dev</w:t>
      </w:r>
      <w:r>
        <w:rPr>
          <w:rFonts w:ascii="Times New Roman" w:cs="Times New Roman" w:hAnsi="Times New Roman" w:eastAsiaTheme="minorHAnsi"/>
          <w:sz w:val="20"/>
          <w:szCs w:val="20"/>
        </w:rPr>
        <w:t xml:space="preserve">; </w:t>
      </w:r>
      <w:r>
        <w:rPr>
          <w:rFonts w:ascii="Times New Roman" w:cs="Times New Roman" w:hAnsi="Times New Roman" w:eastAsiaTheme="minorHAnsi"/>
          <w:b/>
          <w:bCs/>
          <w:sz w:val="20"/>
          <w:szCs w:val="20"/>
        </w:rPr>
        <w:t>22</w:t>
      </w:r>
      <w:r>
        <w:rPr>
          <w:rFonts w:ascii="Times New Roman" w:cs="Times New Roman" w:hAnsi="Times New Roman" w:eastAsiaTheme="minorHAnsi"/>
          <w:sz w:val="20"/>
          <w:szCs w:val="20"/>
        </w:rPr>
        <w:t>(1).</w:t>
      </w:r>
    </w:p>
    <w:p>
      <w:pPr>
        <w:pStyle w:val="style4097"/>
        <w:ind w:firstLine="270" w:left="-270" w:right="144"/>
        <w:jc w:val="both"/>
        <w:rPr>
          <w:rFonts w:ascii="Times New Roman" w:cs="Times New Roman" w:hAnsi="Times New Roman"/>
          <w:sz w:val="20"/>
          <w:szCs w:val="20"/>
        </w:rPr>
      </w:pPr>
      <w:r>
        <w:rPr>
          <w:rFonts w:ascii="Times New Roman" w:cs="Times New Roman" w:hAnsi="Times New Roman"/>
          <w:sz w:val="20"/>
          <w:szCs w:val="20"/>
        </w:rPr>
        <w:t>Gehan, E. (1965). Generalized Wilcoxon test for compar</w:t>
      </w:r>
      <w:r>
        <w:rPr>
          <w:rFonts w:ascii="Times New Roman" w:cs="Times New Roman" w:hAnsi="Times New Roman"/>
          <w:sz w:val="20"/>
          <w:szCs w:val="20"/>
        </w:rPr>
        <w:t xml:space="preserve">ing arbitrarily singly censored </w:t>
      </w:r>
      <w:r>
        <w:rPr>
          <w:rFonts w:ascii="Times New Roman" w:cs="Times New Roman" w:hAnsi="Times New Roman"/>
          <w:sz w:val="20"/>
          <w:szCs w:val="20"/>
        </w:rPr>
        <w:t>samples.</w:t>
      </w:r>
      <w:r>
        <w:rPr>
          <w:rFonts w:ascii="Times New Roman" w:cs="Times New Roman" w:hAnsi="Times New Roman"/>
          <w:sz w:val="20"/>
          <w:szCs w:val="20"/>
        </w:rPr>
        <w:t>Biometrika52 , 203.223.</w:t>
      </w:r>
    </w:p>
    <w:p>
      <w:pPr>
        <w:pStyle w:val="style4097"/>
        <w:ind w:firstLine="270" w:left="-270" w:right="144"/>
        <w:jc w:val="both"/>
        <w:rPr>
          <w:rStyle w:val="style97"/>
          <w:rFonts w:ascii="Times New Roman" w:cs="Times New Roman" w:hAnsi="Times New Roman"/>
          <w:sz w:val="20"/>
          <w:szCs w:val="20"/>
        </w:rPr>
      </w:pPr>
      <w:r>
        <w:rPr>
          <w:rStyle w:val="style97"/>
          <w:rFonts w:ascii="Times New Roman" w:cs="Times New Roman" w:hAnsi="Times New Roman"/>
          <w:i w:val="false"/>
          <w:sz w:val="20"/>
          <w:szCs w:val="20"/>
        </w:rPr>
        <w:t>HZHD,(201</w:t>
      </w:r>
      <w:r>
        <w:rPr>
          <w:rStyle w:val="style97"/>
          <w:rFonts w:ascii="Times New Roman" w:cs="Times New Roman" w:hAnsi="Times New Roman"/>
          <w:i w:val="false"/>
          <w:sz w:val="20"/>
          <w:szCs w:val="20"/>
        </w:rPr>
        <w:t>4</w:t>
      </w:r>
      <w:r>
        <w:rPr>
          <w:rStyle w:val="style97"/>
          <w:rFonts w:ascii="Times New Roman" w:cs="Times New Roman" w:hAnsi="Times New Roman"/>
          <w:sz w:val="20"/>
          <w:szCs w:val="20"/>
        </w:rPr>
        <w:t>).</w:t>
      </w:r>
      <w:r>
        <w:rPr>
          <w:rStyle w:val="style97"/>
          <w:rFonts w:ascii="Times New Roman" w:cs="Times New Roman" w:hAnsi="Times New Roman"/>
          <w:sz w:val="20"/>
          <w:szCs w:val="20"/>
        </w:rPr>
        <w:t xml:space="preserve"> </w:t>
      </w:r>
      <w:r>
        <w:rPr>
          <w:rStyle w:val="style97"/>
          <w:rFonts w:ascii="Times New Roman" w:cs="Times New Roman" w:hAnsi="Times New Roman"/>
          <w:i w:val="false"/>
          <w:sz w:val="20"/>
          <w:szCs w:val="20"/>
        </w:rPr>
        <w:t xml:space="preserve">Hadiya zone Health Department: Health </w:t>
      </w:r>
      <w:r>
        <w:rPr>
          <w:rStyle w:val="style97"/>
          <w:rFonts w:ascii="Times New Roman" w:cs="Times New Roman" w:hAnsi="Times New Roman"/>
          <w:i w:val="false"/>
          <w:sz w:val="20"/>
          <w:szCs w:val="20"/>
        </w:rPr>
        <w:t xml:space="preserve">Sector Development program IV: </w:t>
      </w:r>
      <w:r>
        <w:rPr>
          <w:rStyle w:val="style97"/>
          <w:rFonts w:ascii="Times New Roman" w:cs="Times New Roman" w:hAnsi="Times New Roman"/>
          <w:i w:val="false"/>
          <w:sz w:val="20"/>
          <w:szCs w:val="20"/>
        </w:rPr>
        <w:t>Annual Health performance report</w:t>
      </w:r>
      <w:r>
        <w:rPr>
          <w:rStyle w:val="style97"/>
          <w:rFonts w:ascii="Times New Roman" w:cs="Times New Roman" w:hAnsi="Times New Roman"/>
          <w:sz w:val="20"/>
          <w:szCs w:val="20"/>
        </w:rPr>
        <w:t>.</w:t>
      </w:r>
    </w:p>
    <w:p>
      <w:pPr>
        <w:pStyle w:val="style4097"/>
        <w:ind w:firstLine="270" w:left="-270" w:right="144"/>
        <w:jc w:val="both"/>
        <w:rPr>
          <w:rFonts w:ascii="Times New Roman" w:cs="Times New Roman" w:hAnsi="Times New Roman"/>
          <w:sz w:val="20"/>
          <w:szCs w:val="20"/>
        </w:rPr>
      </w:pPr>
      <w:r>
        <w:rPr>
          <w:rFonts w:ascii="Times New Roman" w:cs="Times New Roman" w:hAnsi="Times New Roman"/>
          <w:sz w:val="20"/>
          <w:szCs w:val="20"/>
        </w:rPr>
        <w:t>Johansen, S.(1978). The product limit estimate as a maximum likelihood estimate. Scan-</w:t>
      </w:r>
      <w:r>
        <w:rPr>
          <w:rFonts w:ascii="Times New Roman" w:cs="Times New Roman" w:hAnsi="Times New Roman"/>
          <w:sz w:val="20"/>
          <w:szCs w:val="20"/>
        </w:rPr>
        <w:tab/>
      </w:r>
      <w:r>
        <w:rPr>
          <w:rFonts w:ascii="Times New Roman" w:cs="Times New Roman" w:hAnsi="Times New Roman"/>
          <w:sz w:val="20"/>
          <w:szCs w:val="20"/>
        </w:rPr>
        <w:t xml:space="preserve">dinavian Journal </w:t>
      </w:r>
      <w:r>
        <w:rPr>
          <w:rFonts w:ascii="Times New Roman" w:cs="Times New Roman" w:hAnsi="Times New Roman"/>
          <w:sz w:val="20"/>
          <w:szCs w:val="20"/>
        </w:rPr>
        <w:t xml:space="preserve">of Statistics 5, </w:t>
      </w:r>
      <w:r>
        <w:rPr>
          <w:rFonts w:ascii="Times New Roman" w:cs="Times New Roman" w:hAnsi="Times New Roman"/>
          <w:sz w:val="20"/>
          <w:szCs w:val="20"/>
        </w:rPr>
        <w:t xml:space="preserve">  </w:t>
      </w:r>
    </w:p>
    <w:p>
      <w:pPr>
        <w:pStyle w:val="style4097"/>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95.199.</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Kaplan, E., and Meier, P.(1958).Nonparametric estimation from incomplete observations. Journal </w:t>
      </w:r>
      <w:r>
        <w:rPr>
          <w:rFonts w:ascii="Times New Roman" w:cs="Times New Roman" w:hAnsi="Times New Roman"/>
          <w:sz w:val="20"/>
          <w:szCs w:val="20"/>
        </w:rPr>
        <w:t>of</w:t>
      </w:r>
      <w:r>
        <w:rPr>
          <w:rFonts w:ascii="Times New Roman" w:cs="Times New Roman" w:hAnsi="Times New Roman"/>
          <w:sz w:val="20"/>
          <w:szCs w:val="20"/>
        </w:rPr>
        <w:t xml:space="preserve">American Statistical </w:t>
      </w:r>
    </w:p>
    <w:p>
      <w:pPr>
        <w:pStyle w:val="style0"/>
        <w:autoSpaceDE w:val="false"/>
        <w:autoSpaceDN w:val="false"/>
        <w:adjustRightInd w:val="false"/>
        <w:spacing w:after="0" w:lineRule="auto" w:line="240"/>
        <w:ind w:firstLine="270" w:left="-270" w:right="144"/>
        <w:jc w:val="both"/>
        <w:rPr>
          <w:rFonts w:ascii="Times New Roman" w:cs="Times New Roman" w:hAnsi="Times New Roman" w:eastAsiaTheme="minorHAnsi"/>
          <w:color w:val="000000"/>
          <w:sz w:val="20"/>
          <w:szCs w:val="20"/>
        </w:rPr>
      </w:pPr>
      <w:r>
        <w:rPr>
          <w:rFonts w:ascii="Times New Roman" w:cs="Times New Roman" w:hAnsi="Times New Roman"/>
          <w:sz w:val="20"/>
          <w:szCs w:val="20"/>
        </w:rPr>
        <w:t xml:space="preserve">                  </w:t>
      </w:r>
      <w:r>
        <w:rPr>
          <w:rFonts w:ascii="Times New Roman" w:cs="Times New Roman" w:hAnsi="Times New Roman"/>
          <w:sz w:val="20"/>
          <w:szCs w:val="20"/>
        </w:rPr>
        <w:t>Association 53 , 457.481.</w:t>
      </w:r>
    </w:p>
    <w:p>
      <w:pPr>
        <w:pStyle w:val="style4097"/>
        <w:ind w:firstLine="270" w:left="-270" w:right="144"/>
        <w:jc w:val="both"/>
        <w:rPr>
          <w:rFonts w:ascii="Times New Roman" w:cs="Times New Roman" w:hAnsi="Times New Roman"/>
          <w:sz w:val="20"/>
          <w:szCs w:val="20"/>
        </w:rPr>
      </w:pPr>
      <w:r>
        <w:rPr>
          <w:rFonts w:ascii="Times New Roman" w:cs="Times New Roman" w:hAnsi="Times New Roman"/>
          <w:sz w:val="20"/>
          <w:szCs w:val="20"/>
        </w:rPr>
        <w:t>Lavor</w:t>
      </w:r>
      <w:r>
        <w:rPr>
          <w:rFonts w:ascii="Times New Roman" w:cs="Times New Roman" w:hAnsi="Times New Roman"/>
          <w:sz w:val="20"/>
          <w:szCs w:val="20"/>
        </w:rPr>
        <w:t>i,l,D., Moorgar, G.,</w:t>
      </w:r>
      <w:r>
        <w:rPr>
          <w:rFonts w:ascii="Times New Roman" w:cs="Times New Roman" w:hAnsi="Times New Roman"/>
          <w:sz w:val="20"/>
          <w:szCs w:val="20"/>
        </w:rPr>
        <w:t xml:space="preserve">. (2005). Declining morbidity and mortality among </w:t>
      </w:r>
      <w:r>
        <w:rPr>
          <w:rFonts w:ascii="Times New Roman" w:cs="Times New Roman" w:hAnsi="Times New Roman"/>
          <w:sz w:val="20"/>
          <w:szCs w:val="20"/>
        </w:rPr>
        <w:tab/>
      </w:r>
      <w:r>
        <w:rPr>
          <w:rFonts w:ascii="Times New Roman" w:cs="Times New Roman" w:hAnsi="Times New Roman"/>
          <w:sz w:val="20"/>
          <w:szCs w:val="20"/>
        </w:rPr>
        <w:t>patients</w:t>
      </w:r>
      <w:r>
        <w:rPr>
          <w:rFonts w:ascii="Times New Roman" w:cs="Times New Roman" w:hAnsi="Times New Roman"/>
          <w:sz w:val="20"/>
          <w:szCs w:val="20"/>
        </w:rPr>
        <w:t xml:space="preserve"> </w:t>
      </w:r>
      <w:r>
        <w:rPr>
          <w:rFonts w:ascii="Times New Roman" w:cs="Times New Roman" w:hAnsi="Times New Roman"/>
          <w:sz w:val="20"/>
          <w:szCs w:val="20"/>
        </w:rPr>
        <w:t>with</w:t>
      </w:r>
      <w:r>
        <w:rPr>
          <w:rFonts w:ascii="Times New Roman" w:cs="Times New Roman" w:hAnsi="Times New Roman"/>
          <w:sz w:val="20"/>
          <w:szCs w:val="20"/>
        </w:rPr>
        <w:t xml:space="preserve"> </w:t>
      </w:r>
      <w:r>
        <w:rPr>
          <w:rFonts w:ascii="Times New Roman" w:cs="Times New Roman" w:hAnsi="Times New Roman"/>
          <w:sz w:val="20"/>
          <w:szCs w:val="20"/>
        </w:rPr>
        <w:t xml:space="preserve">advanced human immune </w:t>
      </w:r>
    </w:p>
    <w:p>
      <w:pPr>
        <w:pStyle w:val="style4097"/>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deficiency virus infection. The New England Journal of Medicine 338, 13, 853.860.</w:t>
      </w:r>
    </w:p>
    <w:p>
      <w:pPr>
        <w:pStyle w:val="style4097"/>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Lawless ,J.(1998). Parametric models in survival analysis. In encyclopedia of Biostatistics. Wiley: </w:t>
      </w:r>
      <w:r>
        <w:rPr>
          <w:rFonts w:ascii="Times New Roman" w:cs="Times New Roman" w:hAnsi="Times New Roman"/>
          <w:sz w:val="20"/>
          <w:szCs w:val="20"/>
        </w:rPr>
        <w:tab/>
      </w:r>
      <w:r>
        <w:rPr>
          <w:rFonts w:ascii="Times New Roman" w:cs="Times New Roman" w:hAnsi="Times New Roman"/>
          <w:sz w:val="20"/>
          <w:szCs w:val="20"/>
        </w:rPr>
        <w:t xml:space="preserve">New York, </w:t>
      </w:r>
      <w:r>
        <w:rPr>
          <w:rFonts w:ascii="Times New Roman" w:cs="Times New Roman" w:hAnsi="Times New Roman"/>
          <w:sz w:val="20"/>
          <w:szCs w:val="20"/>
        </w:rPr>
        <w:t>3254-64.</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Liu,C., Johnson, L., Ostrow, D., Silvestre, A., Visscher, B., Jacobson, L. (2006).Predictors for</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Lower Quality of Life in the HAART Era Among HIV-Infected Men. J Acq; </w:t>
      </w:r>
      <w:r>
        <w:rPr>
          <w:rFonts w:ascii="Times New Roman" w:cs="Times New Roman" w:hAnsi="Times New Roman"/>
          <w:b/>
          <w:bCs/>
          <w:sz w:val="20"/>
          <w:szCs w:val="20"/>
        </w:rPr>
        <w:t>42</w:t>
      </w:r>
      <w:r>
        <w:rPr>
          <w:rFonts w:ascii="Times New Roman" w:cs="Times New Roman" w:hAnsi="Times New Roman"/>
          <w:sz w:val="20"/>
          <w:szCs w:val="20"/>
        </w:rPr>
        <w:t>:470- 477.</w:t>
      </w:r>
    </w:p>
    <w:p>
      <w:pPr>
        <w:pStyle w:val="style4097"/>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Schoenfeld, D. (1982). Chi-squared goodness-of-fit tests for the proportional hazards </w:t>
      </w:r>
      <w:r>
        <w:rPr>
          <w:rFonts w:ascii="Times New Roman" w:cs="Times New Roman" w:hAnsi="Times New Roman"/>
          <w:sz w:val="20"/>
          <w:szCs w:val="20"/>
        </w:rPr>
        <w:tab/>
      </w:r>
      <w:r>
        <w:rPr>
          <w:rFonts w:ascii="Times New Roman" w:cs="Times New Roman" w:hAnsi="Times New Roman"/>
          <w:sz w:val="20"/>
          <w:szCs w:val="20"/>
        </w:rPr>
        <w:t xml:space="preserve">regression </w:t>
      </w:r>
    </w:p>
    <w:p>
      <w:pPr>
        <w:pStyle w:val="style4097"/>
        <w:ind w:firstLine="270" w:left="-270" w:right="144"/>
        <w:jc w:val="both"/>
        <w:rPr>
          <w:rFonts w:ascii="Times New Roman" w:cs="Times New Roman" w:hAnsi="Times New Roman"/>
          <w:i/>
          <w:iCs/>
          <w:sz w:val="20"/>
          <w:szCs w:val="20"/>
        </w:rPr>
      </w:pPr>
      <w:r>
        <w:rPr>
          <w:rFonts w:ascii="Times New Roman" w:cs="Times New Roman" w:hAnsi="Times New Roman"/>
          <w:sz w:val="20"/>
          <w:szCs w:val="20"/>
        </w:rPr>
        <w:tab/>
      </w:r>
      <w:r>
        <w:rPr>
          <w:rFonts w:ascii="Times New Roman" w:cs="Times New Roman" w:hAnsi="Times New Roman"/>
          <w:sz w:val="20"/>
          <w:szCs w:val="20"/>
        </w:rPr>
        <w:t xml:space="preserve">model. </w:t>
      </w:r>
      <w:r>
        <w:rPr>
          <w:rFonts w:ascii="Times New Roman" w:cs="Times New Roman" w:hAnsi="Times New Roman"/>
          <w:i/>
          <w:iCs/>
          <w:sz w:val="20"/>
          <w:szCs w:val="20"/>
        </w:rPr>
        <w:t>Biometrika; 7: 145-153.</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Stephen, D., Lawn, A., Harries, X., Landon, M. and Robin, W. (2011). Early mortality among </w:t>
      </w:r>
    </w:p>
    <w:p>
      <w:pPr>
        <w:pStyle w:val="style0"/>
        <w:autoSpaceDE w:val="false"/>
        <w:autoSpaceDN w:val="false"/>
        <w:adjustRightInd w:val="false"/>
        <w:spacing w:after="0" w:lineRule="auto" w:line="240"/>
        <w:ind w:firstLine="270" w:left="-270" w:right="144"/>
        <w:jc w:val="both"/>
        <w:rPr>
          <w:rFonts w:ascii="Times New Roman" w:cs="Times New Roman" w:hAnsi="Times New Roman"/>
          <w:i/>
          <w:iCs/>
          <w:sz w:val="20"/>
          <w:szCs w:val="20"/>
        </w:rPr>
      </w:pPr>
      <w:r>
        <w:rPr>
          <w:rFonts w:ascii="Times New Roman" w:cs="Times New Roman" w:hAnsi="Times New Roman"/>
          <w:sz w:val="20"/>
          <w:szCs w:val="20"/>
        </w:rPr>
        <w:t>Adults accessing antiretroviral treatment programmes in sub-Saharan Africa</w:t>
      </w:r>
      <w:r>
        <w:rPr>
          <w:rFonts w:ascii="Times New Roman" w:cs="Times New Roman" w:hAnsi="Times New Roman"/>
          <w:i/>
          <w:iCs/>
          <w:sz w:val="20"/>
          <w:szCs w:val="20"/>
        </w:rPr>
        <w:t>. AIDS; 22:1897–1908.</w:t>
      </w:r>
    </w:p>
    <w:p>
      <w:pPr>
        <w:pStyle w:val="style0"/>
        <w:autoSpaceDE w:val="false"/>
        <w:autoSpaceDN w:val="false"/>
        <w:adjustRightInd w:val="false"/>
        <w:spacing w:after="0" w:lineRule="auto" w:line="240"/>
        <w:ind w:firstLine="270" w:left="-270" w:right="144"/>
        <w:jc w:val="both"/>
        <w:rPr>
          <w:rFonts w:ascii="Times New Roman" w:cs="Times New Roman" w:hAnsi="Times New Roman" w:eastAsiaTheme="minorHAnsi"/>
          <w:sz w:val="20"/>
          <w:szCs w:val="20"/>
        </w:rPr>
      </w:pPr>
      <w:r>
        <w:rPr>
          <w:rFonts w:ascii="Times New Roman" w:cs="Times New Roman" w:hAnsi="Times New Roman"/>
          <w:sz w:val="20"/>
          <w:szCs w:val="20"/>
        </w:rPr>
        <w:t xml:space="preserve">Sethi, E. (2009). </w:t>
      </w:r>
      <w:r>
        <w:rPr>
          <w:rFonts w:ascii="Times New Roman" w:cs="Times New Roman" w:hAnsi="Times New Roman" w:eastAsiaTheme="minorHAnsi"/>
          <w:sz w:val="20"/>
          <w:szCs w:val="20"/>
        </w:rPr>
        <w:t>Factors affecting CD4+T-lymphocyte count response to HAART in</w:t>
      </w:r>
      <w:r>
        <w:rPr>
          <w:rFonts w:ascii="Times New Roman" w:cs="Times New Roman" w:hAnsi="Times New Roman" w:eastAsiaTheme="minorHAnsi"/>
          <w:sz w:val="20"/>
          <w:szCs w:val="20"/>
        </w:rPr>
        <w:t xml:space="preserve"> HIV</w:t>
      </w:r>
      <w:r>
        <w:rPr>
          <w:rFonts w:ascii="Times New Roman" w:cs="Times New Roman" w:hAnsi="Times New Roman" w:eastAsiaTheme="minorHAnsi"/>
          <w:sz w:val="20"/>
          <w:szCs w:val="20"/>
        </w:rPr>
        <w:tab/>
      </w:r>
      <w:r>
        <w:rPr>
          <w:rFonts w:ascii="Times New Roman" w:cs="Times New Roman" w:hAnsi="Times New Roman" w:eastAsiaTheme="minorHAnsi"/>
          <w:sz w:val="20"/>
          <w:szCs w:val="20"/>
        </w:rPr>
        <w:t>patients.HIV</w:t>
      </w:r>
      <w:r>
        <w:rPr>
          <w:rFonts w:ascii="Times New Roman" w:cs="Times New Roman" w:hAnsi="Times New Roman" w:eastAsiaTheme="minorHAnsi"/>
          <w:sz w:val="20"/>
          <w:szCs w:val="20"/>
        </w:rPr>
        <w:t xml:space="preserve">medicine </w:t>
      </w:r>
      <w:r>
        <w:rPr>
          <w:rFonts w:ascii="Times New Roman" w:cs="Times New Roman" w:hAnsi="Times New Roman" w:eastAsiaTheme="minorHAnsi"/>
          <w:sz w:val="20"/>
          <w:szCs w:val="20"/>
        </w:rPr>
        <w:t xml:space="preserve"> </w:t>
      </w:r>
    </w:p>
    <w:p>
      <w:pPr>
        <w:pStyle w:val="style0"/>
        <w:autoSpaceDE w:val="false"/>
        <w:autoSpaceDN w:val="false"/>
        <w:adjustRightInd w:val="false"/>
        <w:spacing w:after="0" w:lineRule="auto" w:line="240"/>
        <w:ind w:firstLine="270" w:left="-270" w:right="144"/>
        <w:jc w:val="both"/>
        <w:rPr>
          <w:rFonts w:ascii="Times New Roman" w:cs="Times New Roman" w:hAnsi="Times New Roman"/>
          <w:i/>
          <w:iCs/>
          <w:sz w:val="20"/>
          <w:szCs w:val="20"/>
        </w:rPr>
      </w:pPr>
      <w:r>
        <w:rPr>
          <w:rFonts w:ascii="Times New Roman" w:cs="Times New Roman" w:hAnsi="Times New Roman" w:eastAsiaTheme="minorHAnsi"/>
          <w:sz w:val="20"/>
          <w:szCs w:val="20"/>
        </w:rPr>
        <w:t xml:space="preserve">                              </w:t>
      </w:r>
      <w:r>
        <w:rPr>
          <w:rFonts w:ascii="Times New Roman" w:cs="Times New Roman" w:hAnsi="Times New Roman" w:eastAsiaTheme="minorHAnsi"/>
          <w:sz w:val="20"/>
          <w:szCs w:val="20"/>
        </w:rPr>
        <w:t>journal.Volume 8, Blackwell publishing, uk.pp135-</w:t>
      </w:r>
      <w:r>
        <w:rPr>
          <w:rFonts w:ascii="Times New Roman" w:cs="Times New Roman" w:hAnsi="Times New Roman" w:eastAsiaTheme="minorHAnsi"/>
          <w:bCs/>
          <w:sz w:val="20"/>
          <w:szCs w:val="20"/>
        </w:rPr>
        <w:t>141</w:t>
      </w:r>
      <w:r>
        <w:rPr>
          <w:rFonts w:ascii="Times New Roman" w:cs="Times New Roman" w:hAnsi="Times New Roman" w:eastAsiaTheme="minorHAnsi"/>
          <w:sz w:val="20"/>
          <w:szCs w:val="20"/>
        </w:rPr>
        <w:t>(7).</w:t>
      </w:r>
    </w:p>
    <w:p>
      <w:pPr>
        <w:pStyle w:val="style0"/>
        <w:autoSpaceDE w:val="false"/>
        <w:autoSpaceDN w:val="false"/>
        <w:adjustRightInd w:val="false"/>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Sterensund</w:t>
      </w:r>
      <w:r>
        <w:rPr>
          <w:rFonts w:ascii="Times New Roman" w:cs="Times New Roman" w:hAnsi="Times New Roman"/>
          <w:sz w:val="20"/>
          <w:szCs w:val="20"/>
        </w:rPr>
        <w:t>,</w:t>
      </w:r>
      <w:r>
        <w:rPr>
          <w:rFonts w:ascii="Times New Roman" w:cs="Times New Roman" w:hAnsi="Times New Roman"/>
          <w:sz w:val="20"/>
          <w:szCs w:val="20"/>
        </w:rPr>
        <w:t xml:space="preserve"> H</w:t>
      </w:r>
      <w:r>
        <w:rPr>
          <w:rFonts w:ascii="Times New Roman" w:cs="Times New Roman" w:hAnsi="Times New Roman"/>
          <w:sz w:val="20"/>
          <w:szCs w:val="20"/>
        </w:rPr>
        <w:t xml:space="preserve">. (1989).HIV medicine journal </w:t>
      </w:r>
      <w:r>
        <w:rPr>
          <w:rFonts w:ascii="Times New Roman" w:cs="Times New Roman" w:hAnsi="Times New Roman"/>
          <w:sz w:val="20"/>
          <w:szCs w:val="20"/>
        </w:rPr>
        <w:t>Volume 8, Blackwell publishing, uk.pp135-141(7).</w:t>
      </w:r>
    </w:p>
    <w:p>
      <w:pPr>
        <w:pStyle w:val="style0"/>
        <w:autoSpaceDE w:val="false"/>
        <w:autoSpaceDN w:val="false"/>
        <w:adjustRightInd w:val="false"/>
        <w:spacing w:after="0" w:lineRule="auto" w:line="240"/>
        <w:ind w:firstLine="270" w:left="-270" w:right="144"/>
        <w:jc w:val="both"/>
        <w:rPr>
          <w:rFonts w:ascii="Times New Roman" w:cs="Times New Roman" w:hAnsi="Times New Roman" w:eastAsiaTheme="minorHAnsi"/>
          <w:color w:val="000000"/>
          <w:sz w:val="20"/>
          <w:szCs w:val="20"/>
        </w:rPr>
      </w:pPr>
      <w:r>
        <w:rPr>
          <w:rFonts w:ascii="Times New Roman" w:cs="Times New Roman" w:hAnsi="Times New Roman" w:eastAsiaTheme="minorHAnsi"/>
          <w:color w:val="000000"/>
          <w:sz w:val="20"/>
          <w:szCs w:val="20"/>
        </w:rPr>
        <w:t xml:space="preserve">Vernonet, </w:t>
      </w:r>
      <w:r>
        <w:rPr>
          <w:rFonts w:ascii="Times New Roman" w:cs="Times New Roman" w:hAnsi="Times New Roman" w:eastAsiaTheme="minorHAnsi"/>
          <w:color w:val="000000"/>
          <w:sz w:val="20"/>
          <w:szCs w:val="20"/>
        </w:rPr>
        <w:t xml:space="preserve">T. </w:t>
      </w:r>
      <w:r>
        <w:rPr>
          <w:rFonts w:ascii="Times New Roman" w:cs="Times New Roman" w:hAnsi="Times New Roman" w:eastAsiaTheme="minorHAnsi"/>
          <w:color w:val="000000"/>
          <w:sz w:val="20"/>
          <w:szCs w:val="20"/>
        </w:rPr>
        <w:t xml:space="preserve">(2013). Explaining urban-rural variations in health: A review of interactions between </w:t>
      </w:r>
    </w:p>
    <w:p>
      <w:pPr>
        <w:pStyle w:val="style0"/>
        <w:autoSpaceDE w:val="false"/>
        <w:autoSpaceDN w:val="false"/>
        <w:adjustRightInd w:val="false"/>
        <w:spacing w:after="0" w:lineRule="auto" w:line="240"/>
        <w:ind w:firstLine="270" w:left="-270" w:right="144"/>
        <w:jc w:val="both"/>
        <w:rPr>
          <w:rFonts w:ascii="Times New Roman" w:cs="Times New Roman" w:hAnsi="Times New Roman" w:eastAsiaTheme="minorHAnsi"/>
          <w:color w:val="000000"/>
          <w:sz w:val="20"/>
          <w:szCs w:val="20"/>
        </w:rPr>
      </w:pPr>
      <w:r>
        <w:rPr>
          <w:rFonts w:ascii="Times New Roman" w:cs="Times New Roman" w:hAnsi="Times New Roman" w:eastAsiaTheme="minorHAnsi"/>
          <w:color w:val="000000"/>
          <w:sz w:val="20"/>
          <w:szCs w:val="20"/>
        </w:rPr>
        <w:tab/>
      </w:r>
      <w:r>
        <w:rPr>
          <w:rFonts w:ascii="Times New Roman" w:cs="Times New Roman" w:hAnsi="Times New Roman" w:eastAsiaTheme="minorHAnsi"/>
          <w:color w:val="000000"/>
          <w:sz w:val="20"/>
          <w:szCs w:val="20"/>
        </w:rPr>
        <w:t>individual and environment. Social Science and Medicine</w:t>
      </w:r>
      <w:r>
        <w:rPr>
          <w:rFonts w:ascii="Times New Roman" w:cs="Times New Roman" w:hAnsi="Times New Roman" w:eastAsiaTheme="minorHAnsi"/>
          <w:bCs/>
          <w:color w:val="000000"/>
          <w:sz w:val="20"/>
          <w:szCs w:val="20"/>
        </w:rPr>
        <w:t>42</w:t>
      </w:r>
      <w:r>
        <w:rPr>
          <w:rFonts w:ascii="Times New Roman" w:cs="Times New Roman" w:hAnsi="Times New Roman" w:eastAsiaTheme="minorHAnsi"/>
          <w:color w:val="000000"/>
          <w:sz w:val="20"/>
          <w:szCs w:val="20"/>
        </w:rPr>
        <w:t>: 923-935.</w:t>
      </w:r>
    </w:p>
    <w:p>
      <w:pPr>
        <w:pStyle w:val="style0"/>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Weibull,W. (1939).</w:t>
      </w:r>
      <w:r>
        <w:rPr>
          <w:rFonts w:ascii="Times New Roman" w:cs="Times New Roman" w:hAnsi="Times New Roman"/>
          <w:sz w:val="20"/>
          <w:szCs w:val="20"/>
        </w:rPr>
        <w:t xml:space="preserve"> </w:t>
      </w:r>
      <w:r>
        <w:rPr>
          <w:rFonts w:ascii="Times New Roman" w:cs="Times New Roman" w:hAnsi="Times New Roman"/>
          <w:sz w:val="20"/>
          <w:szCs w:val="20"/>
        </w:rPr>
        <w:t xml:space="preserve">A Statistical Theory of the Strength of Materials.(1951), A Statistical </w:t>
      </w:r>
      <w:r>
        <w:rPr>
          <w:rFonts w:ascii="Times New Roman" w:cs="Times New Roman" w:hAnsi="Times New Roman"/>
          <w:sz w:val="20"/>
          <w:szCs w:val="20"/>
        </w:rPr>
        <w:tab/>
      </w:r>
      <w:r>
        <w:rPr>
          <w:rFonts w:ascii="Times New Roman" w:cs="Times New Roman" w:hAnsi="Times New Roman"/>
          <w:sz w:val="20"/>
          <w:szCs w:val="20"/>
        </w:rPr>
        <w:t xml:space="preserve">Distribution of Wide </w:t>
      </w:r>
    </w:p>
    <w:p>
      <w:pPr>
        <w:pStyle w:val="style0"/>
        <w:spacing w:after="0" w:lineRule="auto" w:line="240"/>
        <w:ind w:firstLine="270" w:left="-270" w:right="144"/>
        <w:jc w:val="both"/>
        <w:rPr>
          <w:rFonts w:ascii="Times New Roman" w:cs="Times New Roman" w:hAnsi="Times New Roman"/>
          <w:sz w:val="20"/>
          <w:szCs w:val="20"/>
        </w:rPr>
      </w:pPr>
      <w:r>
        <w:rPr>
          <w:rFonts w:ascii="Times New Roman" w:cs="Times New Roman" w:hAnsi="Times New Roman"/>
          <w:sz w:val="20"/>
          <w:szCs w:val="20"/>
        </w:rPr>
        <w:t xml:space="preserve">                              </w:t>
      </w:r>
      <w:r>
        <w:rPr>
          <w:rFonts w:ascii="Times New Roman" w:cs="Times New Roman" w:hAnsi="Times New Roman"/>
          <w:sz w:val="20"/>
          <w:szCs w:val="20"/>
        </w:rPr>
        <w:t xml:space="preserve">Applicability. </w:t>
      </w:r>
      <w:r>
        <w:rPr>
          <w:rFonts w:ascii="Times New Roman" w:cs="Times New Roman" w:hAnsi="Times New Roman"/>
          <w:sz w:val="20"/>
          <w:szCs w:val="20"/>
        </w:rPr>
        <w:t xml:space="preserve">  </w:t>
      </w:r>
      <w:r>
        <w:rPr>
          <w:rFonts w:ascii="Times New Roman" w:cs="Times New Roman" w:hAnsi="Times New Roman"/>
          <w:sz w:val="20"/>
          <w:szCs w:val="20"/>
        </w:rPr>
        <w:t>Journal of Applied Mathematics, 18, 29 3-297.</w:t>
      </w:r>
    </w:p>
    <w:p>
      <w:pPr>
        <w:pStyle w:val="style0"/>
        <w:autoSpaceDE w:val="false"/>
        <w:autoSpaceDN w:val="false"/>
        <w:adjustRightInd w:val="false"/>
        <w:spacing w:after="0" w:lineRule="auto" w:line="240"/>
        <w:ind w:firstLine="270" w:left="-270" w:right="144"/>
        <w:jc w:val="both"/>
        <w:rPr>
          <w:sz w:val="20"/>
          <w:szCs w:val="20"/>
          <w:lang w:val="en-GB"/>
        </w:rPr>
      </w:pPr>
      <w:r>
        <w:rPr>
          <w:rFonts w:ascii="Times New Roman" w:cs="Times New Roman" w:hAnsi="Times New Roman"/>
          <w:sz w:val="20"/>
          <w:szCs w:val="20"/>
        </w:rPr>
        <w:t>WHO,(2007). Report on the global AIDS epidemic, treatment</w:t>
      </w:r>
      <w:bookmarkStart w:id="520" w:name="_Toc451494755"/>
      <w:bookmarkStart w:id="521" w:name="_Toc451496349"/>
      <w:bookmarkStart w:id="522" w:name="_Toc451496852"/>
      <w:bookmarkStart w:id="523" w:name="_Toc451522900"/>
      <w:bookmarkStart w:id="524" w:name="_Toc451742138"/>
      <w:bookmarkStart w:id="525" w:name="_Toc451742879"/>
      <w:bookmarkStart w:id="526" w:name="_Toc452191138"/>
      <w:bookmarkStart w:id="527" w:name="_Toc452191687"/>
      <w:bookmarkStart w:id="528" w:name="_Toc452195108"/>
      <w:bookmarkStart w:id="529" w:name="_Toc450724197"/>
      <w:bookmarkStart w:id="530" w:name="_Toc450724442"/>
      <w:r>
        <w:rPr>
          <w:rFonts w:ascii="Times New Roman" w:cs="Times New Roman" w:hAnsi="Times New Roman"/>
          <w:sz w:val="20"/>
          <w:szCs w:val="20"/>
        </w:rPr>
        <w:t xml:space="preserve"> and car</w:t>
      </w:r>
      <w:bookmarkEnd w:id="520"/>
      <w:bookmarkEnd w:id="521"/>
      <w:bookmarkEnd w:id="522"/>
      <w:bookmarkEnd w:id="523"/>
      <w:bookmarkEnd w:id="524"/>
      <w:bookmarkEnd w:id="525"/>
      <w:bookmarkEnd w:id="526"/>
      <w:bookmarkEnd w:id="527"/>
      <w:bookmarkEnd w:id="528"/>
      <w:bookmarkEnd w:id="529"/>
      <w:bookmarkEnd w:id="530"/>
    </w:p>
    <w:sectPr>
      <w:headerReference w:type="default" r:id="rId11"/>
      <w:footerReference w:type="default" r:id="rId12"/>
      <w:pgSz w:w="12240" w:h="15840" w:orient="portrait"/>
      <w:pgMar w:top="1170" w:right="810" w:bottom="1080" w:left="1080" w:header="720" w:footer="63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00"/>
    <w:family w:val="modern"/>
    <w:pitch w:val="fixed"/>
    <w:sig w:usb0="E0002A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Perpetua">
    <w:altName w:val="Perpetua"/>
    <w:panose1 w:val="02020502060401020303"/>
    <w:charset w:val="00"/>
    <w:family w:val="roman"/>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Myriad Pro Light SemiCond">
    <w:altName w:val="Myriad Pro Light SemiCond"/>
    <w:panose1 w:val="00000000000000000000"/>
    <w:charset w:val="00"/>
    <w:family w:val="swiss"/>
    <w:pitch w:val="default"/>
    <w:sig w:usb0="00000003" w:usb1="00000000" w:usb2="00000000" w:usb3="00000000" w:csb0="00000001" w:csb1="00000000"/>
  </w:font>
  <w:font w:name="Consolas">
    <w:altName w:val="Consolas"/>
    <w:panose1 w:val="020b0609020204030204"/>
    <w:charset w:val="00"/>
    <w:family w:val="modern"/>
    <w:pitch w:val="fixed"/>
    <w:sig w:usb0="E10002FF" w:usb1="4000FCFF" w:usb2="00000009" w:usb3="00000000" w:csb0="0000019F" w:csb1="00000000"/>
  </w:font>
  <w:font w:name="TimesNewRomanPSMT">
    <w:altName w:val="MS Mincho"/>
    <w:panose1 w:val="00000000000000000000"/>
    <w:charset w:val="80"/>
    <w:family w:val="auto"/>
    <w:pitch w:val="default"/>
    <w:sig w:usb0="00000083" w:usb1="08070000" w:usb2="00000010" w:usb3="00000000" w:csb0="00020009" w:csb1="00000000"/>
  </w:font>
  <w:font w:name="CenturySchoolbook">
    <w:altName w:val="MS Mincho"/>
    <w:panose1 w:val="00000000000000000000"/>
    <w:charset w:val="80"/>
    <w:family w:val="auto"/>
    <w:pitch w:val="default"/>
    <w:sig w:usb0="00000000" w:usb1="08070000" w:usb2="00000010" w:usb3="00000000" w:csb0="00020000" w:csb1="00000000"/>
  </w:font>
  <w:font w:name="TimesNewRoman,Bold">
    <w:altName w:val="MS Mincho"/>
    <w:panose1 w:val="00000000000000000000"/>
    <w:charset w:val="80"/>
    <w:family w:val="auto"/>
    <w:pitch w:val="default"/>
    <w:sig w:usb0="00000000" w:usb1="08070000" w:usb2="00000010" w:usb3="00000000" w:csb0="00020000" w:csb1="00000000"/>
  </w:font>
  <w:font w:name="Cambria Math">
    <w:altName w:val="Cambria Math"/>
    <w:panose1 w:val="02040503050406030204"/>
    <w:charset w:val="00"/>
    <w:family w:val="roman"/>
    <w:pitch w:val="variable"/>
    <w:sig w:usb0="E00002FF" w:usb1="420024FF" w:usb2="00000000" w:usb3="00000000" w:csb0="0000019F" w:csb1="00000000"/>
  </w:font>
  <w:font w:name="Arial Unicode MS">
    <w:altName w:val="Arial Unicode MS"/>
    <w:panose1 w:val="020b0604020202020204"/>
    <w:charset w:val="80"/>
    <w:family w:val="swiss"/>
    <w:pitch w:val="variable"/>
    <w:sig w:usb0="F7FFAFFF" w:usb1="E9DFFFFF" w:usb2="0000003F" w:usb3="00000000" w:csb0="003F01FF" w:csb1="00000000"/>
  </w:font>
  <w:font w:name="SymbolMT">
    <w:altName w:val="Arial Unicode MS"/>
    <w:panose1 w:val="00000000000000000000"/>
    <w:charset w:val="88"/>
    <w:family w:val="auto"/>
    <w:pitch w:val="default"/>
    <w:sig w:usb0="00000001" w:usb1="08080000" w:usb2="00000010" w:usb3="00000000" w:csb0="00100000" w:csb1="00000000"/>
  </w:font>
  <w:font w:name="CMMI10">
    <w:altName w:val="MS Mincho"/>
    <w:panose1 w:val="00000000000000000000"/>
    <w:charset w:val="80"/>
    <w:family w:val="auto"/>
    <w:pitch w:val="default"/>
    <w:sig w:usb0="00000003" w:usb1="08070000" w:usb2="00000010" w:usb3="00000000" w:csb0="00020001" w:csb1="00000000"/>
  </w:font>
  <w:font w:name="CMR10">
    <w:altName w:val="CMR10"/>
    <w:panose1 w:val="00000000000000000000"/>
    <w:charset w:val="00"/>
    <w:family w:val="roman"/>
    <w:pitch w:val="default"/>
    <w:sig w:usb0="00000003" w:usb1="00000000" w:usb2="00000000" w:usb3="00000000" w:csb0="00000001" w:csb1="00000000"/>
  </w:font>
  <w:font w:name="TimesNewRoman">
    <w:altName w:val="Arial Unicode MS"/>
    <w:panose1 w:val="00000000000000000000"/>
    <w:charset w:val="00"/>
    <w:family w:val="roman"/>
    <w:pitch w:val="default"/>
    <w:sig w:usb0="00000001" w:usb1="09070000" w:usb2="00000010" w:usb3="00000000" w:csb0="000A0001" w:csb1="00000000"/>
  </w:font>
  <w:font w:name="CambriaMath">
    <w:altName w:val="MS Mincho"/>
    <w:panose1 w:val="00000000000000000000"/>
    <w:charset w:val="80"/>
    <w:family w:val="auto"/>
    <w:pitch w:val="default"/>
    <w:sig w:usb0="00000001" w:usb1="08070000" w:usb2="00000010" w:usb3="00000000" w:csb0="00020000" w:csb1="00000000"/>
  </w:font>
  <w:font w:name="ArialMT">
    <w:altName w:val="ArialMT"/>
    <w:panose1 w:val="00000000000000000000"/>
    <w:charset w:val="00"/>
    <w:family w:val="swiss"/>
    <w:pitch w:val="default"/>
    <w:sig w:usb0="00000003" w:usb1="00000000" w:usb2="0000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2"/>
      <w:jc w:val="center"/>
      <w:rPr/>
    </w:pPr>
    <w:r>
      <w:rPr/>
      <w:fldChar w:fldCharType="begin"/>
    </w:r>
    <w:r>
      <w:instrText xml:space="preserve"> PAGE   \* MERGEFORMAT </w:instrText>
    </w:r>
    <w:r>
      <w:rPr/>
      <w:fldChar w:fldCharType="separate"/>
    </w:r>
    <w:r>
      <w:rPr>
        <w:noProof/>
      </w:rPr>
      <w:t>1</w:t>
    </w:r>
    <w:r>
      <w:rPr/>
      <w:fldChar w:fldCharType="end"/>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000002"/>
    <w:name w:val="WW8Num2"/>
    <w:lvl w:ilvl="0">
      <w:start w:val="1"/>
      <w:numFmt w:val="none"/>
      <w:suff w:val="nothing"/>
      <w:lvlText w:val=""/>
      <w:lvlJc w:val="left"/>
      <w:pPr>
        <w:tabs>
          <w:tab w:val="left" w:leader="none" w:pos="0"/>
        </w:tabs>
        <w:ind w:hanging="432" w:left="432"/>
      </w:pPr>
    </w:lvl>
    <w:lvl w:ilvl="1">
      <w:start w:val="1"/>
      <w:numFmt w:val="none"/>
      <w:suff w:val="nothing"/>
      <w:lvlText w:val=""/>
      <w:lvlJc w:val="left"/>
      <w:pPr>
        <w:tabs>
          <w:tab w:val="left" w:leader="none" w:pos="0"/>
        </w:tabs>
        <w:ind w:hanging="576" w:left="576"/>
      </w:pPr>
    </w:lvl>
    <w:lvl w:ilvl="2">
      <w:start w:val="1"/>
      <w:numFmt w:val="none"/>
      <w:suff w:val="nothing"/>
      <w:lvlText w:val=""/>
      <w:lvlJc w:val="left"/>
      <w:pPr>
        <w:tabs>
          <w:tab w:val="left" w:leader="none" w:pos="0"/>
        </w:tabs>
        <w:ind w:hanging="720" w:left="720"/>
      </w:pPr>
    </w:lvl>
    <w:lvl w:ilvl="3">
      <w:start w:val="1"/>
      <w:numFmt w:val="none"/>
      <w:suff w:val="nothing"/>
      <w:lvlText w:val=""/>
      <w:lvlJc w:val="left"/>
      <w:pPr>
        <w:tabs>
          <w:tab w:val="left" w:leader="none" w:pos="0"/>
        </w:tabs>
        <w:ind w:hanging="864" w:left="864"/>
      </w:pPr>
    </w:lvl>
    <w:lvl w:ilvl="4">
      <w:start w:val="1"/>
      <w:numFmt w:val="none"/>
      <w:suff w:val="nothing"/>
      <w:lvlText w:val=""/>
      <w:lvlJc w:val="left"/>
      <w:pPr>
        <w:tabs>
          <w:tab w:val="left" w:leader="none" w:pos="0"/>
        </w:tabs>
        <w:ind w:hanging="1008" w:left="1008"/>
      </w:pPr>
    </w:lvl>
    <w:lvl w:ilvl="5">
      <w:start w:val="1"/>
      <w:numFmt w:val="none"/>
      <w:suff w:val="nothing"/>
      <w:lvlText w:val=""/>
      <w:lvlJc w:val="left"/>
      <w:pPr>
        <w:tabs>
          <w:tab w:val="left" w:leader="none" w:pos="0"/>
        </w:tabs>
        <w:ind w:hanging="1152" w:left="1152"/>
      </w:pPr>
    </w:lvl>
    <w:lvl w:ilvl="6">
      <w:start w:val="1"/>
      <w:numFmt w:val="none"/>
      <w:suff w:val="nothing"/>
      <w:lvlText w:val=""/>
      <w:lvlJc w:val="left"/>
      <w:pPr>
        <w:tabs>
          <w:tab w:val="left" w:leader="none" w:pos="0"/>
        </w:tabs>
        <w:ind w:hanging="1296" w:left="1296"/>
      </w:pPr>
    </w:lvl>
    <w:lvl w:ilvl="7">
      <w:start w:val="1"/>
      <w:numFmt w:val="none"/>
      <w:suff w:val="nothing"/>
      <w:lvlText w:val=""/>
      <w:lvlJc w:val="left"/>
      <w:pPr>
        <w:tabs>
          <w:tab w:val="left" w:leader="none" w:pos="0"/>
        </w:tabs>
        <w:ind w:hanging="1440" w:left="1440"/>
      </w:pPr>
    </w:lvl>
    <w:lvl w:ilvl="8">
      <w:start w:val="1"/>
      <w:numFmt w:val="none"/>
      <w:suff w:val="nothing"/>
      <w:lvlText w:val=""/>
      <w:lvlJc w:val="left"/>
      <w:pPr>
        <w:tabs>
          <w:tab w:val="left" w:leader="none" w:pos="0"/>
        </w:tabs>
        <w:ind w:hanging="1584" w:left="1584"/>
      </w:pPr>
    </w:lvl>
  </w:abstractNum>
  <w:abstractNum w:abstractNumId="1">
    <w:nsid w:val="00000001"/>
    <w:multiLevelType w:val="hybridMultilevel"/>
    <w:tmpl w:val="4DA07994"/>
    <w:lvl w:ilvl="0">
      <w:start w:val="1"/>
      <w:numFmt w:val="lowerLetter"/>
      <w:suff w:val="tab"/>
      <w:lvlText w:val="%1)"/>
      <w:lvlJc w:val="left"/>
      <w:pPr>
        <w:ind w:hanging="360" w:left="3170"/>
      </w:pPr>
    </w:lvl>
    <w:lvl w:ilvl="1" w:tentative="1">
      <w:start w:val="1"/>
      <w:numFmt w:val="lowerLetter"/>
      <w:suff w:val="tab"/>
      <w:lvlText w:val="%2."/>
      <w:lvlJc w:val="left"/>
      <w:pPr>
        <w:ind w:hanging="360" w:left="3890"/>
      </w:pPr>
    </w:lvl>
    <w:lvl w:ilvl="2" w:tentative="1">
      <w:start w:val="1"/>
      <w:numFmt w:val="lowerRoman"/>
      <w:suff w:val="tab"/>
      <w:lvlText w:val="%3."/>
      <w:lvlJc w:val="right"/>
      <w:pPr>
        <w:ind w:hanging="180" w:left="4610"/>
      </w:pPr>
    </w:lvl>
    <w:lvl w:ilvl="3" w:tentative="1">
      <w:start w:val="1"/>
      <w:numFmt w:val="decimal"/>
      <w:suff w:val="tab"/>
      <w:lvlText w:val="%4."/>
      <w:lvlJc w:val="left"/>
      <w:pPr>
        <w:ind w:hanging="360" w:left="5330"/>
      </w:pPr>
    </w:lvl>
    <w:lvl w:ilvl="4" w:tentative="1">
      <w:start w:val="1"/>
      <w:numFmt w:val="lowerLetter"/>
      <w:suff w:val="tab"/>
      <w:lvlText w:val="%5."/>
      <w:lvlJc w:val="left"/>
      <w:pPr>
        <w:ind w:hanging="360" w:left="6050"/>
      </w:pPr>
    </w:lvl>
    <w:lvl w:ilvl="5" w:tentative="1">
      <w:start w:val="1"/>
      <w:numFmt w:val="lowerRoman"/>
      <w:suff w:val="tab"/>
      <w:lvlText w:val="%6."/>
      <w:lvlJc w:val="right"/>
      <w:pPr>
        <w:ind w:hanging="180" w:left="6770"/>
      </w:pPr>
    </w:lvl>
    <w:lvl w:ilvl="6" w:tentative="1">
      <w:start w:val="1"/>
      <w:numFmt w:val="decimal"/>
      <w:suff w:val="tab"/>
      <w:lvlText w:val="%7."/>
      <w:lvlJc w:val="left"/>
      <w:pPr>
        <w:ind w:hanging="360" w:left="7490"/>
      </w:pPr>
    </w:lvl>
    <w:lvl w:ilvl="7" w:tentative="1">
      <w:start w:val="1"/>
      <w:numFmt w:val="lowerLetter"/>
      <w:suff w:val="tab"/>
      <w:lvlText w:val="%8."/>
      <w:lvlJc w:val="left"/>
      <w:pPr>
        <w:ind w:hanging="360" w:left="8210"/>
      </w:pPr>
    </w:lvl>
    <w:lvl w:ilvl="8" w:tentative="1">
      <w:start w:val="1"/>
      <w:numFmt w:val="lowerRoman"/>
      <w:suff w:val="tab"/>
      <w:lvlText w:val="%9."/>
      <w:lvlJc w:val="right"/>
      <w:pPr>
        <w:ind w:hanging="180" w:left="8930"/>
      </w:pPr>
    </w:lvl>
  </w:abstractNum>
  <w:abstractNum w:abstractNumId="2">
    <w:nsid w:val="00000002"/>
    <w:multiLevelType w:val="hybridMultilevel"/>
    <w:tmpl w:val="26921800"/>
    <w:lvl w:ilvl="0">
      <w:start w:val="2"/>
      <w:numFmt w:val="lowerRoman"/>
      <w:suff w:val="tab"/>
      <w:lvlText w:val="%1."/>
      <w:lvlJc w:val="left"/>
      <w:pPr>
        <w:ind w:hanging="720" w:left="1080"/>
      </w:pPr>
      <w:rPr>
        <w:rFonts w:hint="default"/>
      </w:rPr>
    </w:lvl>
    <w:lvl w:ilvl="1" w:tentative="1">
      <w:start w:val="1"/>
      <w:numFmt w:val="lowerLetter"/>
      <w:suff w:val="tab"/>
      <w:lvlText w:val="%2."/>
      <w:lvlJc w:val="left"/>
      <w:pPr>
        <w:ind w:hanging="360" w:left="1440"/>
      </w:pPr>
    </w:lvl>
    <w:lvl w:ilvl="2" w:tentative="1">
      <w:start w:val="1"/>
      <w:numFmt w:val="lowerRoman"/>
      <w:suff w:val="tab"/>
      <w:lvlText w:val="%3."/>
      <w:lvlJc w:val="right"/>
      <w:pPr>
        <w:ind w:hanging="180" w:left="2160"/>
      </w:pPr>
    </w:lvl>
    <w:lvl w:ilvl="3" w:tentative="1">
      <w:start w:val="1"/>
      <w:numFmt w:val="decimal"/>
      <w:suff w:val="tab"/>
      <w:lvlText w:val="%4."/>
      <w:lvlJc w:val="left"/>
      <w:pPr>
        <w:ind w:hanging="360" w:left="2880"/>
      </w:pPr>
    </w:lvl>
    <w:lvl w:ilvl="4" w:tentative="1">
      <w:start w:val="1"/>
      <w:numFmt w:val="lowerLetter"/>
      <w:suff w:val="tab"/>
      <w:lvlText w:val="%5."/>
      <w:lvlJc w:val="left"/>
      <w:pPr>
        <w:ind w:hanging="360" w:left="3600"/>
      </w:pPr>
    </w:lvl>
    <w:lvl w:ilvl="5" w:tentative="1">
      <w:start w:val="1"/>
      <w:numFmt w:val="lowerRoman"/>
      <w:suff w:val="tab"/>
      <w:lvlText w:val="%6."/>
      <w:lvlJc w:val="right"/>
      <w:pPr>
        <w:ind w:hanging="180" w:left="4320"/>
      </w:pPr>
    </w:lvl>
    <w:lvl w:ilvl="6" w:tentative="1">
      <w:start w:val="1"/>
      <w:numFmt w:val="decimal"/>
      <w:suff w:val="tab"/>
      <w:lvlText w:val="%7."/>
      <w:lvlJc w:val="left"/>
      <w:pPr>
        <w:ind w:hanging="360" w:left="5040"/>
      </w:pPr>
    </w:lvl>
    <w:lvl w:ilvl="7" w:tentative="1">
      <w:start w:val="1"/>
      <w:numFmt w:val="lowerLetter"/>
      <w:suff w:val="tab"/>
      <w:lvlText w:val="%8."/>
      <w:lvlJc w:val="left"/>
      <w:pPr>
        <w:ind w:hanging="360" w:left="5760"/>
      </w:pPr>
    </w:lvl>
    <w:lvl w:ilvl="8" w:tentative="1">
      <w:start w:val="1"/>
      <w:numFmt w:val="lowerRoman"/>
      <w:suff w:val="tab"/>
      <w:lvlText w:val="%9."/>
      <w:lvlJc w:val="right"/>
      <w:pPr>
        <w:ind w:hanging="180" w:left="6480"/>
      </w:pPr>
    </w:lvl>
  </w:abstractNum>
  <w:abstractNum w:abstractNumId="3">
    <w:nsid w:val="00000003"/>
    <w:multiLevelType w:val="hybridMultilevel"/>
    <w:tmpl w:val="FED006EA"/>
    <w:lvl w:ilvl="0">
      <w:start w:val="1"/>
      <w:numFmt w:val="bullet"/>
      <w:suff w:val="tab"/>
      <w:lvlText w:val=""/>
      <w:lvlJc w:val="left"/>
      <w:pPr>
        <w:ind w:hanging="360" w:left="810"/>
      </w:pPr>
      <w:rPr>
        <w:rFonts w:ascii="Wingdings" w:hAnsi="Wingdings" w:hint="default"/>
      </w:rPr>
    </w:lvl>
    <w:lvl w:ilvl="1" w:tentative="1">
      <w:start w:val="1"/>
      <w:numFmt w:val="bullet"/>
      <w:suff w:val="tab"/>
      <w:lvlText w:val="o"/>
      <w:lvlJc w:val="left"/>
      <w:pPr>
        <w:ind w:hanging="360" w:left="1530"/>
      </w:pPr>
      <w:rPr>
        <w:rFonts w:ascii="Courier New" w:cs="Courier New" w:hAnsi="Courier New" w:hint="default"/>
      </w:rPr>
    </w:lvl>
    <w:lvl w:ilvl="2" w:tentative="1">
      <w:start w:val="1"/>
      <w:numFmt w:val="bullet"/>
      <w:suff w:val="tab"/>
      <w:lvlText w:val=""/>
      <w:lvlJc w:val="left"/>
      <w:pPr>
        <w:ind w:hanging="360" w:left="2250"/>
      </w:pPr>
      <w:rPr>
        <w:rFonts w:ascii="Wingdings" w:hAnsi="Wingdings" w:hint="default"/>
      </w:rPr>
    </w:lvl>
    <w:lvl w:ilvl="3" w:tentative="1">
      <w:start w:val="1"/>
      <w:numFmt w:val="bullet"/>
      <w:suff w:val="tab"/>
      <w:lvlText w:val=""/>
      <w:lvlJc w:val="left"/>
      <w:pPr>
        <w:ind w:hanging="360" w:left="2970"/>
      </w:pPr>
      <w:rPr>
        <w:rFonts w:ascii="Symbol" w:hAnsi="Symbol" w:hint="default"/>
      </w:rPr>
    </w:lvl>
    <w:lvl w:ilvl="4" w:tentative="1">
      <w:start w:val="1"/>
      <w:numFmt w:val="bullet"/>
      <w:suff w:val="tab"/>
      <w:lvlText w:val="o"/>
      <w:lvlJc w:val="left"/>
      <w:pPr>
        <w:ind w:hanging="360" w:left="3690"/>
      </w:pPr>
      <w:rPr>
        <w:rFonts w:ascii="Courier New" w:cs="Courier New" w:hAnsi="Courier New" w:hint="default"/>
      </w:rPr>
    </w:lvl>
    <w:lvl w:ilvl="5" w:tentative="1">
      <w:start w:val="1"/>
      <w:numFmt w:val="bullet"/>
      <w:suff w:val="tab"/>
      <w:lvlText w:val=""/>
      <w:lvlJc w:val="left"/>
      <w:pPr>
        <w:ind w:hanging="360" w:left="4410"/>
      </w:pPr>
      <w:rPr>
        <w:rFonts w:ascii="Wingdings" w:hAnsi="Wingdings" w:hint="default"/>
      </w:rPr>
    </w:lvl>
    <w:lvl w:ilvl="6" w:tentative="1">
      <w:start w:val="1"/>
      <w:numFmt w:val="bullet"/>
      <w:suff w:val="tab"/>
      <w:lvlText w:val=""/>
      <w:lvlJc w:val="left"/>
      <w:pPr>
        <w:ind w:hanging="360" w:left="5130"/>
      </w:pPr>
      <w:rPr>
        <w:rFonts w:ascii="Symbol" w:hAnsi="Symbol" w:hint="default"/>
      </w:rPr>
    </w:lvl>
    <w:lvl w:ilvl="7" w:tentative="1">
      <w:start w:val="1"/>
      <w:numFmt w:val="bullet"/>
      <w:suff w:val="tab"/>
      <w:lvlText w:val="o"/>
      <w:lvlJc w:val="left"/>
      <w:pPr>
        <w:ind w:hanging="360" w:left="5850"/>
      </w:pPr>
      <w:rPr>
        <w:rFonts w:ascii="Courier New" w:cs="Courier New" w:hAnsi="Courier New" w:hint="default"/>
      </w:rPr>
    </w:lvl>
    <w:lvl w:ilvl="8" w:tentative="1">
      <w:start w:val="1"/>
      <w:numFmt w:val="bullet"/>
      <w:suff w:val="tab"/>
      <w:lvlText w:val=""/>
      <w:lvlJc w:val="left"/>
      <w:pPr>
        <w:ind w:hanging="360" w:left="6570"/>
      </w:pPr>
      <w:rPr>
        <w:rFonts w:ascii="Wingdings" w:hAnsi="Wingdings" w:hint="default"/>
      </w:rPr>
    </w:lvl>
  </w:abstractNum>
  <w:abstractNum w:abstractNumId="4">
    <w:nsid w:val="00000004"/>
    <w:multiLevelType w:val="hybridMultilevel"/>
    <w:tmpl w:val="232CAD6A"/>
    <w:lvl w:ilvl="0">
      <w:start w:val="1"/>
      <w:numFmt w:val="bullet"/>
      <w:suff w:val="tab"/>
      <w:lvlText w:val=""/>
      <w:lvlJc w:val="left"/>
      <w:pPr>
        <w:ind w:hanging="360" w:left="630"/>
      </w:pPr>
      <w:rPr>
        <w:rFonts w:ascii="Symbol" w:hAnsi="Symbol" w:hint="default"/>
      </w:rPr>
    </w:lvl>
    <w:lvl w:ilvl="1" w:tentative="1">
      <w:start w:val="1"/>
      <w:numFmt w:val="bullet"/>
      <w:suff w:val="tab"/>
      <w:lvlText w:val="o"/>
      <w:lvlJc w:val="left"/>
      <w:pPr>
        <w:ind w:hanging="360" w:left="1350"/>
      </w:pPr>
      <w:rPr>
        <w:rFonts w:ascii="Courier New" w:cs="Courier New" w:hAnsi="Courier New" w:hint="default"/>
      </w:rPr>
    </w:lvl>
    <w:lvl w:ilvl="2" w:tentative="1">
      <w:start w:val="1"/>
      <w:numFmt w:val="bullet"/>
      <w:suff w:val="tab"/>
      <w:lvlText w:val=""/>
      <w:lvlJc w:val="left"/>
      <w:pPr>
        <w:ind w:hanging="360" w:left="2070"/>
      </w:pPr>
      <w:rPr>
        <w:rFonts w:ascii="Wingdings" w:hAnsi="Wingdings" w:hint="default"/>
      </w:rPr>
    </w:lvl>
    <w:lvl w:ilvl="3" w:tentative="1">
      <w:start w:val="1"/>
      <w:numFmt w:val="bullet"/>
      <w:suff w:val="tab"/>
      <w:lvlText w:val=""/>
      <w:lvlJc w:val="left"/>
      <w:pPr>
        <w:ind w:hanging="360" w:left="2790"/>
      </w:pPr>
      <w:rPr>
        <w:rFonts w:ascii="Symbol" w:hAnsi="Symbol" w:hint="default"/>
      </w:rPr>
    </w:lvl>
    <w:lvl w:ilvl="4" w:tentative="1">
      <w:start w:val="1"/>
      <w:numFmt w:val="bullet"/>
      <w:suff w:val="tab"/>
      <w:lvlText w:val="o"/>
      <w:lvlJc w:val="left"/>
      <w:pPr>
        <w:ind w:hanging="360" w:left="3510"/>
      </w:pPr>
      <w:rPr>
        <w:rFonts w:ascii="Courier New" w:cs="Courier New" w:hAnsi="Courier New" w:hint="default"/>
      </w:rPr>
    </w:lvl>
    <w:lvl w:ilvl="5" w:tentative="1">
      <w:start w:val="1"/>
      <w:numFmt w:val="bullet"/>
      <w:suff w:val="tab"/>
      <w:lvlText w:val=""/>
      <w:lvlJc w:val="left"/>
      <w:pPr>
        <w:ind w:hanging="360" w:left="4230"/>
      </w:pPr>
      <w:rPr>
        <w:rFonts w:ascii="Wingdings" w:hAnsi="Wingdings" w:hint="default"/>
      </w:rPr>
    </w:lvl>
    <w:lvl w:ilvl="6" w:tentative="1">
      <w:start w:val="1"/>
      <w:numFmt w:val="bullet"/>
      <w:suff w:val="tab"/>
      <w:lvlText w:val=""/>
      <w:lvlJc w:val="left"/>
      <w:pPr>
        <w:ind w:hanging="360" w:left="4950"/>
      </w:pPr>
      <w:rPr>
        <w:rFonts w:ascii="Symbol" w:hAnsi="Symbol" w:hint="default"/>
      </w:rPr>
    </w:lvl>
    <w:lvl w:ilvl="7" w:tentative="1">
      <w:start w:val="1"/>
      <w:numFmt w:val="bullet"/>
      <w:suff w:val="tab"/>
      <w:lvlText w:val="o"/>
      <w:lvlJc w:val="left"/>
      <w:pPr>
        <w:ind w:hanging="360" w:left="5670"/>
      </w:pPr>
      <w:rPr>
        <w:rFonts w:ascii="Courier New" w:cs="Courier New" w:hAnsi="Courier New" w:hint="default"/>
      </w:rPr>
    </w:lvl>
    <w:lvl w:ilvl="8" w:tentative="1">
      <w:start w:val="1"/>
      <w:numFmt w:val="bullet"/>
      <w:suff w:val="tab"/>
      <w:lvlText w:val=""/>
      <w:lvlJc w:val="left"/>
      <w:pPr>
        <w:ind w:hanging="360" w:left="6390"/>
      </w:pPr>
      <w:rPr>
        <w:rFonts w:ascii="Wingdings" w:hAnsi="Wingdings" w:hint="default"/>
      </w:rPr>
    </w:lvl>
  </w:abstractNum>
  <w:abstractNum w:abstractNumId="5">
    <w:nsid w:val="00000005"/>
    <w:multiLevelType w:val="hybridMultilevel"/>
    <w:tmpl w:val="66DEC1DC"/>
    <w:lvl w:ilvl="0">
      <w:start w:val="1"/>
      <w:numFmt w:val="lowerLetter"/>
      <w:suff w:val="tab"/>
      <w:lvlText w:val="%1."/>
      <w:lvlJc w:val="left"/>
      <w:pPr>
        <w:ind w:hanging="360" w:left="3170"/>
      </w:pPr>
      <w:rPr>
        <w:rFonts w:ascii="Times New Roman" w:cs="Times New Roman" w:hAnsi="Times New Roman" w:hint="default"/>
        <w:sz w:val="24"/>
      </w:rPr>
    </w:lvl>
    <w:lvl w:ilvl="1" w:tentative="1">
      <w:start w:val="1"/>
      <w:numFmt w:val="lowerLetter"/>
      <w:suff w:val="tab"/>
      <w:lvlText w:val="%2."/>
      <w:lvlJc w:val="left"/>
      <w:pPr>
        <w:ind w:hanging="360" w:left="3890"/>
      </w:pPr>
    </w:lvl>
    <w:lvl w:ilvl="2" w:tentative="1">
      <w:start w:val="1"/>
      <w:numFmt w:val="lowerRoman"/>
      <w:suff w:val="tab"/>
      <w:lvlText w:val="%3."/>
      <w:lvlJc w:val="right"/>
      <w:pPr>
        <w:ind w:hanging="180" w:left="4610"/>
      </w:pPr>
    </w:lvl>
    <w:lvl w:ilvl="3" w:tentative="1">
      <w:start w:val="1"/>
      <w:numFmt w:val="decimal"/>
      <w:suff w:val="tab"/>
      <w:lvlText w:val="%4."/>
      <w:lvlJc w:val="left"/>
      <w:pPr>
        <w:ind w:hanging="360" w:left="5330"/>
      </w:pPr>
    </w:lvl>
    <w:lvl w:ilvl="4" w:tentative="1">
      <w:start w:val="1"/>
      <w:numFmt w:val="lowerLetter"/>
      <w:suff w:val="tab"/>
      <w:lvlText w:val="%5."/>
      <w:lvlJc w:val="left"/>
      <w:pPr>
        <w:ind w:hanging="360" w:left="6050"/>
      </w:pPr>
    </w:lvl>
    <w:lvl w:ilvl="5" w:tentative="1">
      <w:start w:val="1"/>
      <w:numFmt w:val="lowerRoman"/>
      <w:suff w:val="tab"/>
      <w:lvlText w:val="%6."/>
      <w:lvlJc w:val="right"/>
      <w:pPr>
        <w:ind w:hanging="180" w:left="6770"/>
      </w:pPr>
    </w:lvl>
    <w:lvl w:ilvl="6" w:tentative="1">
      <w:start w:val="1"/>
      <w:numFmt w:val="decimal"/>
      <w:suff w:val="tab"/>
      <w:lvlText w:val="%7."/>
      <w:lvlJc w:val="left"/>
      <w:pPr>
        <w:ind w:hanging="360" w:left="7490"/>
      </w:pPr>
    </w:lvl>
    <w:lvl w:ilvl="7" w:tentative="1">
      <w:start w:val="1"/>
      <w:numFmt w:val="lowerLetter"/>
      <w:suff w:val="tab"/>
      <w:lvlText w:val="%8."/>
      <w:lvlJc w:val="left"/>
      <w:pPr>
        <w:ind w:hanging="360" w:left="8210"/>
      </w:pPr>
    </w:lvl>
    <w:lvl w:ilvl="8" w:tentative="1">
      <w:start w:val="1"/>
      <w:numFmt w:val="lowerRoman"/>
      <w:suff w:val="tab"/>
      <w:lvlText w:val="%9."/>
      <w:lvlJc w:val="right"/>
      <w:pPr>
        <w:ind w:hanging="180" w:left="8930"/>
      </w:pPr>
    </w:lvl>
  </w:abstractNum>
  <w:abstractNum w:abstractNumId="6">
    <w:nsid w:val="00000006"/>
    <w:multiLevelType w:val="hybridMultilevel"/>
    <w:tmpl w:val="6B02AA18"/>
    <w:lvl w:ilvl="0">
      <w:start w:val="1"/>
      <w:numFmt w:val="lowerLetter"/>
      <w:suff w:val="tab"/>
      <w:lvlText w:val="%1)"/>
      <w:lvlJc w:val="left"/>
      <w:pPr>
        <w:ind w:hanging="360" w:left="1800"/>
      </w:pPr>
      <w:rPr>
        <w:rFonts w:hint="default"/>
      </w:rPr>
    </w:lvl>
    <w:lvl w:ilvl="1" w:tentative="1">
      <w:start w:val="1"/>
      <w:numFmt w:val="lowerLetter"/>
      <w:suff w:val="tab"/>
      <w:lvlText w:val="%2."/>
      <w:lvlJc w:val="left"/>
      <w:pPr>
        <w:ind w:hanging="360" w:left="2160"/>
      </w:pPr>
    </w:lvl>
    <w:lvl w:ilvl="2" w:tentative="1">
      <w:start w:val="1"/>
      <w:numFmt w:val="lowerRoman"/>
      <w:suff w:val="tab"/>
      <w:lvlText w:val="%3."/>
      <w:lvlJc w:val="right"/>
      <w:pPr>
        <w:ind w:hanging="180" w:left="2880"/>
      </w:pPr>
    </w:lvl>
    <w:lvl w:ilvl="3" w:tentative="1">
      <w:start w:val="1"/>
      <w:numFmt w:val="decimal"/>
      <w:suff w:val="tab"/>
      <w:lvlText w:val="%4."/>
      <w:lvlJc w:val="left"/>
      <w:pPr>
        <w:ind w:hanging="360" w:left="3600"/>
      </w:pPr>
    </w:lvl>
    <w:lvl w:ilvl="4" w:tentative="1">
      <w:start w:val="1"/>
      <w:numFmt w:val="lowerLetter"/>
      <w:suff w:val="tab"/>
      <w:lvlText w:val="%5."/>
      <w:lvlJc w:val="left"/>
      <w:pPr>
        <w:ind w:hanging="360" w:left="4320"/>
      </w:pPr>
    </w:lvl>
    <w:lvl w:ilvl="5" w:tentative="1">
      <w:start w:val="1"/>
      <w:numFmt w:val="lowerRoman"/>
      <w:suff w:val="tab"/>
      <w:lvlText w:val="%6."/>
      <w:lvlJc w:val="right"/>
      <w:pPr>
        <w:ind w:hanging="180" w:left="5040"/>
      </w:pPr>
    </w:lvl>
    <w:lvl w:ilvl="6" w:tentative="1">
      <w:start w:val="1"/>
      <w:numFmt w:val="decimal"/>
      <w:suff w:val="tab"/>
      <w:lvlText w:val="%7."/>
      <w:lvlJc w:val="left"/>
      <w:pPr>
        <w:ind w:hanging="360" w:left="5760"/>
      </w:pPr>
    </w:lvl>
    <w:lvl w:ilvl="7" w:tentative="1">
      <w:start w:val="1"/>
      <w:numFmt w:val="lowerLetter"/>
      <w:suff w:val="tab"/>
      <w:lvlText w:val="%8."/>
      <w:lvlJc w:val="left"/>
      <w:pPr>
        <w:ind w:hanging="360" w:left="6480"/>
      </w:pPr>
    </w:lvl>
    <w:lvl w:ilvl="8" w:tentative="1">
      <w:start w:val="1"/>
      <w:numFmt w:val="lowerRoman"/>
      <w:suff w:val="tab"/>
      <w:lvlText w:val="%9."/>
      <w:lvlJc w:val="right"/>
      <w:pPr>
        <w:ind w:hanging="180" w:left="7200"/>
      </w:pPr>
    </w:lvl>
  </w:abstractNum>
  <w:abstractNum w:abstractNumId="7">
    <w:nsid w:val="00000007"/>
    <w:multiLevelType w:val="hybridMultilevel"/>
    <w:tmpl w:val="7C0A27AC"/>
    <w:lvl w:ilvl="0">
      <w:start w:val="1"/>
      <w:numFmt w:val="decimal"/>
      <w:suff w:val="tab"/>
      <w:lvlText w:val="%1."/>
      <w:lvlJc w:val="left"/>
      <w:pPr>
        <w:ind w:hanging="360" w:left="720"/>
      </w:pPr>
      <w:rPr>
        <w:rFonts w:hint="default"/>
        <w:color w:val="365f91"/>
      </w:rPr>
    </w:lvl>
    <w:lvl w:ilvl="1" w:tentative="1">
      <w:start w:val="1"/>
      <w:numFmt w:val="lowerLetter"/>
      <w:suff w:val="tab"/>
      <w:lvlText w:val="%2."/>
      <w:lvlJc w:val="left"/>
      <w:pPr>
        <w:ind w:hanging="360" w:left="1440"/>
      </w:pPr>
    </w:lvl>
    <w:lvl w:ilvl="2" w:tentative="1">
      <w:start w:val="1"/>
      <w:numFmt w:val="lowerRoman"/>
      <w:suff w:val="tab"/>
      <w:lvlText w:val="%3."/>
      <w:lvlJc w:val="right"/>
      <w:pPr>
        <w:ind w:hanging="180" w:left="2160"/>
      </w:pPr>
    </w:lvl>
    <w:lvl w:ilvl="3" w:tentative="1">
      <w:start w:val="1"/>
      <w:numFmt w:val="decimal"/>
      <w:suff w:val="tab"/>
      <w:lvlText w:val="%4."/>
      <w:lvlJc w:val="left"/>
      <w:pPr>
        <w:ind w:hanging="360" w:left="2880"/>
      </w:pPr>
    </w:lvl>
    <w:lvl w:ilvl="4" w:tentative="1">
      <w:start w:val="1"/>
      <w:numFmt w:val="lowerLetter"/>
      <w:suff w:val="tab"/>
      <w:lvlText w:val="%5."/>
      <w:lvlJc w:val="left"/>
      <w:pPr>
        <w:ind w:hanging="360" w:left="3600"/>
      </w:pPr>
    </w:lvl>
    <w:lvl w:ilvl="5" w:tentative="1">
      <w:start w:val="1"/>
      <w:numFmt w:val="lowerRoman"/>
      <w:suff w:val="tab"/>
      <w:lvlText w:val="%6."/>
      <w:lvlJc w:val="right"/>
      <w:pPr>
        <w:ind w:hanging="180" w:left="4320"/>
      </w:pPr>
    </w:lvl>
    <w:lvl w:ilvl="6" w:tentative="1">
      <w:start w:val="1"/>
      <w:numFmt w:val="decimal"/>
      <w:suff w:val="tab"/>
      <w:lvlText w:val="%7."/>
      <w:lvlJc w:val="left"/>
      <w:pPr>
        <w:ind w:hanging="360" w:left="5040"/>
      </w:pPr>
    </w:lvl>
    <w:lvl w:ilvl="7" w:tentative="1">
      <w:start w:val="1"/>
      <w:numFmt w:val="lowerLetter"/>
      <w:suff w:val="tab"/>
      <w:lvlText w:val="%8."/>
      <w:lvlJc w:val="left"/>
      <w:pPr>
        <w:ind w:hanging="360" w:left="5760"/>
      </w:pPr>
    </w:lvl>
    <w:lvl w:ilvl="8" w:tentative="1">
      <w:start w:val="1"/>
      <w:numFmt w:val="lowerRoman"/>
      <w:suff w:val="tab"/>
      <w:lvlText w:val="%9."/>
      <w:lvlJc w:val="right"/>
      <w:pPr>
        <w:ind w:hanging="180" w:left="6480"/>
      </w:pPr>
    </w:lvl>
  </w:abstractNum>
  <w:abstractNum w:abstractNumId="8">
    <w:nsid w:val="00000008"/>
    <w:multiLevelType w:val="hybridMultilevel"/>
    <w:tmpl w:val="3B6E6FB8"/>
    <w:lvl w:ilvl="0">
      <w:start w:val="1"/>
      <w:numFmt w:val="decimal"/>
      <w:suff w:val="tab"/>
      <w:lvlText w:val="%1."/>
      <w:lvlJc w:val="left"/>
      <w:pPr>
        <w:ind w:hanging="360" w:left="720"/>
      </w:pPr>
      <w:rPr>
        <w:rFonts w:hint="default"/>
        <w:b w:val="false"/>
        <w:sz w:val="24"/>
      </w:rPr>
    </w:lvl>
    <w:lvl w:ilvl="1" w:tentative="1">
      <w:start w:val="1"/>
      <w:numFmt w:val="lowerLetter"/>
      <w:suff w:val="tab"/>
      <w:lvlText w:val="%2."/>
      <w:lvlJc w:val="left"/>
      <w:pPr>
        <w:ind w:hanging="360" w:left="1440"/>
      </w:pPr>
    </w:lvl>
    <w:lvl w:ilvl="2" w:tentative="1">
      <w:start w:val="1"/>
      <w:numFmt w:val="lowerRoman"/>
      <w:suff w:val="tab"/>
      <w:lvlText w:val="%3."/>
      <w:lvlJc w:val="right"/>
      <w:pPr>
        <w:ind w:hanging="180" w:left="2160"/>
      </w:pPr>
    </w:lvl>
    <w:lvl w:ilvl="3" w:tentative="1">
      <w:start w:val="1"/>
      <w:numFmt w:val="decimal"/>
      <w:suff w:val="tab"/>
      <w:lvlText w:val="%4."/>
      <w:lvlJc w:val="left"/>
      <w:pPr>
        <w:ind w:hanging="360" w:left="2880"/>
      </w:pPr>
    </w:lvl>
    <w:lvl w:ilvl="4" w:tentative="1">
      <w:start w:val="1"/>
      <w:numFmt w:val="lowerLetter"/>
      <w:suff w:val="tab"/>
      <w:lvlText w:val="%5."/>
      <w:lvlJc w:val="left"/>
      <w:pPr>
        <w:ind w:hanging="360" w:left="3600"/>
      </w:pPr>
    </w:lvl>
    <w:lvl w:ilvl="5" w:tentative="1">
      <w:start w:val="1"/>
      <w:numFmt w:val="lowerRoman"/>
      <w:suff w:val="tab"/>
      <w:lvlText w:val="%6."/>
      <w:lvlJc w:val="right"/>
      <w:pPr>
        <w:ind w:hanging="180" w:left="4320"/>
      </w:pPr>
    </w:lvl>
    <w:lvl w:ilvl="6" w:tentative="1">
      <w:start w:val="1"/>
      <w:numFmt w:val="decimal"/>
      <w:suff w:val="tab"/>
      <w:lvlText w:val="%7."/>
      <w:lvlJc w:val="left"/>
      <w:pPr>
        <w:ind w:hanging="360" w:left="5040"/>
      </w:pPr>
    </w:lvl>
    <w:lvl w:ilvl="7" w:tentative="1">
      <w:start w:val="1"/>
      <w:numFmt w:val="lowerLetter"/>
      <w:suff w:val="tab"/>
      <w:lvlText w:val="%8."/>
      <w:lvlJc w:val="left"/>
      <w:pPr>
        <w:ind w:hanging="360" w:left="5760"/>
      </w:pPr>
    </w:lvl>
    <w:lvl w:ilvl="8" w:tentative="1">
      <w:start w:val="1"/>
      <w:numFmt w:val="lowerRoman"/>
      <w:suff w:val="tab"/>
      <w:lvlText w:val="%9."/>
      <w:lvlJc w:val="right"/>
      <w:pPr>
        <w:ind w:hanging="180" w:left="6480"/>
      </w:pPr>
    </w:lvl>
  </w:abstractNum>
  <w:abstractNum w:abstractNumId="9">
    <w:nsid w:val="00000009"/>
    <w:multiLevelType w:val="hybridMultilevel"/>
    <w:tmpl w:val="DBEC66BE"/>
    <w:lvl w:ilvl="0">
      <w:start w:val="5"/>
      <w:numFmt w:val="lowerLetter"/>
      <w:suff w:val="tab"/>
      <w:lvlText w:val="%1."/>
      <w:lvlJc w:val="left"/>
      <w:pPr>
        <w:ind w:hanging="360" w:left="900"/>
      </w:pPr>
      <w:rPr>
        <w:rFonts w:hint="default"/>
      </w:rPr>
    </w:lvl>
    <w:lvl w:ilvl="1" w:tentative="1">
      <w:start w:val="1"/>
      <w:numFmt w:val="lowerLetter"/>
      <w:suff w:val="tab"/>
      <w:lvlText w:val="%2."/>
      <w:lvlJc w:val="left"/>
      <w:pPr>
        <w:ind w:hanging="360" w:left="1620"/>
      </w:pPr>
    </w:lvl>
    <w:lvl w:ilvl="2" w:tentative="1">
      <w:start w:val="1"/>
      <w:numFmt w:val="lowerRoman"/>
      <w:suff w:val="tab"/>
      <w:lvlText w:val="%3."/>
      <w:lvlJc w:val="right"/>
      <w:pPr>
        <w:ind w:hanging="180" w:left="2340"/>
      </w:pPr>
    </w:lvl>
    <w:lvl w:ilvl="3" w:tentative="1">
      <w:start w:val="1"/>
      <w:numFmt w:val="decimal"/>
      <w:suff w:val="tab"/>
      <w:lvlText w:val="%4."/>
      <w:lvlJc w:val="left"/>
      <w:pPr>
        <w:ind w:hanging="360" w:left="3060"/>
      </w:pPr>
    </w:lvl>
    <w:lvl w:ilvl="4" w:tentative="1">
      <w:start w:val="1"/>
      <w:numFmt w:val="lowerLetter"/>
      <w:suff w:val="tab"/>
      <w:lvlText w:val="%5."/>
      <w:lvlJc w:val="left"/>
      <w:pPr>
        <w:ind w:hanging="360" w:left="3780"/>
      </w:pPr>
    </w:lvl>
    <w:lvl w:ilvl="5" w:tentative="1">
      <w:start w:val="1"/>
      <w:numFmt w:val="lowerRoman"/>
      <w:suff w:val="tab"/>
      <w:lvlText w:val="%6."/>
      <w:lvlJc w:val="right"/>
      <w:pPr>
        <w:ind w:hanging="180" w:left="4500"/>
      </w:pPr>
    </w:lvl>
    <w:lvl w:ilvl="6" w:tentative="1">
      <w:start w:val="1"/>
      <w:numFmt w:val="decimal"/>
      <w:suff w:val="tab"/>
      <w:lvlText w:val="%7."/>
      <w:lvlJc w:val="left"/>
      <w:pPr>
        <w:ind w:hanging="360" w:left="5220"/>
      </w:pPr>
    </w:lvl>
    <w:lvl w:ilvl="7" w:tentative="1">
      <w:start w:val="1"/>
      <w:numFmt w:val="lowerLetter"/>
      <w:suff w:val="tab"/>
      <w:lvlText w:val="%8."/>
      <w:lvlJc w:val="left"/>
      <w:pPr>
        <w:ind w:hanging="360" w:left="5940"/>
      </w:pPr>
    </w:lvl>
    <w:lvl w:ilvl="8" w:tentative="1">
      <w:start w:val="1"/>
      <w:numFmt w:val="lowerRoman"/>
      <w:suff w:val="tab"/>
      <w:lvlText w:val="%9."/>
      <w:lvlJc w:val="right"/>
      <w:pPr>
        <w:ind w:hanging="180" w:left="6660"/>
      </w:pPr>
    </w:lvl>
  </w:abstractNum>
  <w:abstractNum w:abstractNumId="10">
    <w:nsid w:val="0000000A"/>
    <w:multiLevelType w:val="hybridMultilevel"/>
    <w:tmpl w:val="D6563A5E"/>
    <w:lvl w:ilvl="0">
      <w:start w:val="9"/>
      <w:numFmt w:val="lowerLetter"/>
      <w:suff w:val="tab"/>
      <w:lvlText w:val="%1."/>
      <w:lvlJc w:val="left"/>
      <w:pPr>
        <w:ind w:hanging="360" w:left="720"/>
      </w:pPr>
      <w:rPr>
        <w:rFonts w:hint="default"/>
      </w:rPr>
    </w:lvl>
    <w:lvl w:ilvl="1" w:tentative="1">
      <w:start w:val="1"/>
      <w:numFmt w:val="lowerLetter"/>
      <w:suff w:val="tab"/>
      <w:lvlText w:val="%2."/>
      <w:lvlJc w:val="left"/>
      <w:pPr>
        <w:ind w:hanging="360" w:left="1440"/>
      </w:pPr>
    </w:lvl>
    <w:lvl w:ilvl="2" w:tentative="1">
      <w:start w:val="1"/>
      <w:numFmt w:val="lowerRoman"/>
      <w:suff w:val="tab"/>
      <w:lvlText w:val="%3."/>
      <w:lvlJc w:val="right"/>
      <w:pPr>
        <w:ind w:hanging="180" w:left="2160"/>
      </w:pPr>
    </w:lvl>
    <w:lvl w:ilvl="3" w:tentative="1">
      <w:start w:val="1"/>
      <w:numFmt w:val="decimal"/>
      <w:suff w:val="tab"/>
      <w:lvlText w:val="%4."/>
      <w:lvlJc w:val="left"/>
      <w:pPr>
        <w:ind w:hanging="360" w:left="2880"/>
      </w:pPr>
    </w:lvl>
    <w:lvl w:ilvl="4" w:tentative="1">
      <w:start w:val="1"/>
      <w:numFmt w:val="lowerLetter"/>
      <w:suff w:val="tab"/>
      <w:lvlText w:val="%5."/>
      <w:lvlJc w:val="left"/>
      <w:pPr>
        <w:ind w:hanging="360" w:left="3600"/>
      </w:pPr>
    </w:lvl>
    <w:lvl w:ilvl="5" w:tentative="1">
      <w:start w:val="1"/>
      <w:numFmt w:val="lowerRoman"/>
      <w:suff w:val="tab"/>
      <w:lvlText w:val="%6."/>
      <w:lvlJc w:val="right"/>
      <w:pPr>
        <w:ind w:hanging="180" w:left="4320"/>
      </w:pPr>
    </w:lvl>
    <w:lvl w:ilvl="6" w:tentative="1">
      <w:start w:val="1"/>
      <w:numFmt w:val="decimal"/>
      <w:suff w:val="tab"/>
      <w:lvlText w:val="%7."/>
      <w:lvlJc w:val="left"/>
      <w:pPr>
        <w:ind w:hanging="360" w:left="5040"/>
      </w:pPr>
    </w:lvl>
    <w:lvl w:ilvl="7" w:tentative="1">
      <w:start w:val="1"/>
      <w:numFmt w:val="lowerLetter"/>
      <w:suff w:val="tab"/>
      <w:lvlText w:val="%8."/>
      <w:lvlJc w:val="left"/>
      <w:pPr>
        <w:ind w:hanging="360" w:left="5760"/>
      </w:pPr>
    </w:lvl>
    <w:lvl w:ilvl="8" w:tentative="1">
      <w:start w:val="1"/>
      <w:numFmt w:val="lowerRoman"/>
      <w:suff w:val="tab"/>
      <w:lvlText w:val="%9."/>
      <w:lvlJc w:val="right"/>
      <w:pPr>
        <w:ind w:hanging="180" w:left="6480"/>
      </w:pPr>
    </w:lvl>
  </w:abstractNum>
  <w:abstractNum w:abstractNumId="11">
    <w:nsid w:val="0000000B"/>
    <w:multiLevelType w:val="hybridMultilevel"/>
    <w:tmpl w:val="DCCE6E24"/>
    <w:lvl w:ilvl="0">
      <w:start w:val="1"/>
      <w:numFmt w:val="bullet"/>
      <w:suff w:val="tab"/>
      <w:lvlText w:val=""/>
      <w:lvlJc w:val="left"/>
      <w:pPr>
        <w:ind w:hanging="360" w:left="810"/>
      </w:pPr>
      <w:rPr>
        <w:rFonts w:ascii="Wingdings" w:hAnsi="Wingdings" w:hint="default"/>
      </w:rPr>
    </w:lvl>
    <w:lvl w:ilvl="1" w:tentative="1">
      <w:start w:val="1"/>
      <w:numFmt w:val="bullet"/>
      <w:suff w:val="tab"/>
      <w:lvlText w:val="o"/>
      <w:lvlJc w:val="left"/>
      <w:pPr>
        <w:ind w:hanging="360" w:left="810"/>
      </w:pPr>
      <w:rPr>
        <w:rFonts w:ascii="Courier New" w:cs="Courier New" w:hAnsi="Courier New" w:hint="default"/>
      </w:rPr>
    </w:lvl>
    <w:lvl w:ilvl="2" w:tentative="1">
      <w:start w:val="1"/>
      <w:numFmt w:val="bullet"/>
      <w:suff w:val="tab"/>
      <w:lvlText w:val=""/>
      <w:lvlJc w:val="left"/>
      <w:pPr>
        <w:ind w:hanging="360" w:left="1530"/>
      </w:pPr>
      <w:rPr>
        <w:rFonts w:ascii="Wingdings" w:hAnsi="Wingdings" w:hint="default"/>
      </w:rPr>
    </w:lvl>
    <w:lvl w:ilvl="3" w:tentative="1">
      <w:start w:val="1"/>
      <w:numFmt w:val="bullet"/>
      <w:suff w:val="tab"/>
      <w:lvlText w:val=""/>
      <w:lvlJc w:val="left"/>
      <w:pPr>
        <w:ind w:hanging="360" w:left="2250"/>
      </w:pPr>
      <w:rPr>
        <w:rFonts w:ascii="Symbol" w:hAnsi="Symbol" w:hint="default"/>
      </w:rPr>
    </w:lvl>
    <w:lvl w:ilvl="4" w:tentative="1">
      <w:start w:val="1"/>
      <w:numFmt w:val="bullet"/>
      <w:suff w:val="tab"/>
      <w:lvlText w:val="o"/>
      <w:lvlJc w:val="left"/>
      <w:pPr>
        <w:ind w:hanging="360" w:left="2970"/>
      </w:pPr>
      <w:rPr>
        <w:rFonts w:ascii="Courier New" w:cs="Courier New" w:hAnsi="Courier New" w:hint="default"/>
      </w:rPr>
    </w:lvl>
    <w:lvl w:ilvl="5" w:tentative="1">
      <w:start w:val="1"/>
      <w:numFmt w:val="bullet"/>
      <w:suff w:val="tab"/>
      <w:lvlText w:val=""/>
      <w:lvlJc w:val="left"/>
      <w:pPr>
        <w:ind w:hanging="360" w:left="3690"/>
      </w:pPr>
      <w:rPr>
        <w:rFonts w:ascii="Wingdings" w:hAnsi="Wingdings" w:hint="default"/>
      </w:rPr>
    </w:lvl>
    <w:lvl w:ilvl="6" w:tentative="1">
      <w:start w:val="1"/>
      <w:numFmt w:val="bullet"/>
      <w:suff w:val="tab"/>
      <w:lvlText w:val=""/>
      <w:lvlJc w:val="left"/>
      <w:pPr>
        <w:ind w:hanging="360" w:left="4410"/>
      </w:pPr>
      <w:rPr>
        <w:rFonts w:ascii="Symbol" w:hAnsi="Symbol" w:hint="default"/>
      </w:rPr>
    </w:lvl>
    <w:lvl w:ilvl="7" w:tentative="1">
      <w:start w:val="1"/>
      <w:numFmt w:val="bullet"/>
      <w:suff w:val="tab"/>
      <w:lvlText w:val="o"/>
      <w:lvlJc w:val="left"/>
      <w:pPr>
        <w:ind w:hanging="360" w:left="5130"/>
      </w:pPr>
      <w:rPr>
        <w:rFonts w:ascii="Courier New" w:cs="Courier New" w:hAnsi="Courier New" w:hint="default"/>
      </w:rPr>
    </w:lvl>
    <w:lvl w:ilvl="8" w:tentative="1">
      <w:start w:val="1"/>
      <w:numFmt w:val="bullet"/>
      <w:suff w:val="tab"/>
      <w:lvlText w:val=""/>
      <w:lvlJc w:val="left"/>
      <w:pPr>
        <w:ind w:hanging="360" w:left="5850"/>
      </w:pPr>
      <w:rPr>
        <w:rFonts w:ascii="Wingdings" w:hAnsi="Wingdings" w:hint="default"/>
      </w:rPr>
    </w:lvl>
  </w:abstractNum>
  <w:abstractNum w:abstractNumId="12">
    <w:nsid w:val="0000000C"/>
    <w:multiLevelType w:val="hybridMultilevel"/>
    <w:tmpl w:val="751291A0"/>
    <w:lvl w:ilvl="0">
      <w:start w:val="1"/>
      <w:numFmt w:val="bullet"/>
      <w:suff w:val="tab"/>
      <w:lvlText w:val=""/>
      <w:lvlJc w:val="left"/>
      <w:pPr>
        <w:ind w:hanging="360" w:left="990"/>
      </w:pPr>
      <w:rPr>
        <w:rFonts w:ascii="Wingdings" w:hAnsi="Wingdings" w:hint="default"/>
      </w:rPr>
    </w:lvl>
    <w:lvl w:ilvl="1" w:tentative="1">
      <w:start w:val="1"/>
      <w:numFmt w:val="bullet"/>
      <w:suff w:val="tab"/>
      <w:lvlText w:val="o"/>
      <w:lvlJc w:val="left"/>
      <w:pPr>
        <w:ind w:hanging="360" w:left="1710"/>
      </w:pPr>
      <w:rPr>
        <w:rFonts w:ascii="Courier New" w:cs="Courier New" w:hAnsi="Courier New" w:hint="default"/>
      </w:rPr>
    </w:lvl>
    <w:lvl w:ilvl="2" w:tentative="1">
      <w:start w:val="1"/>
      <w:numFmt w:val="bullet"/>
      <w:suff w:val="tab"/>
      <w:lvlText w:val=""/>
      <w:lvlJc w:val="left"/>
      <w:pPr>
        <w:ind w:hanging="360" w:left="2430"/>
      </w:pPr>
      <w:rPr>
        <w:rFonts w:ascii="Wingdings" w:hAnsi="Wingdings" w:hint="default"/>
      </w:rPr>
    </w:lvl>
    <w:lvl w:ilvl="3" w:tentative="1">
      <w:start w:val="1"/>
      <w:numFmt w:val="bullet"/>
      <w:suff w:val="tab"/>
      <w:lvlText w:val=""/>
      <w:lvlJc w:val="left"/>
      <w:pPr>
        <w:ind w:hanging="360" w:left="3150"/>
      </w:pPr>
      <w:rPr>
        <w:rFonts w:ascii="Symbol" w:hAnsi="Symbol" w:hint="default"/>
      </w:rPr>
    </w:lvl>
    <w:lvl w:ilvl="4" w:tentative="1">
      <w:start w:val="1"/>
      <w:numFmt w:val="bullet"/>
      <w:suff w:val="tab"/>
      <w:lvlText w:val="o"/>
      <w:lvlJc w:val="left"/>
      <w:pPr>
        <w:ind w:hanging="360" w:left="3870"/>
      </w:pPr>
      <w:rPr>
        <w:rFonts w:ascii="Courier New" w:cs="Courier New" w:hAnsi="Courier New" w:hint="default"/>
      </w:rPr>
    </w:lvl>
    <w:lvl w:ilvl="5" w:tentative="1">
      <w:start w:val="1"/>
      <w:numFmt w:val="bullet"/>
      <w:suff w:val="tab"/>
      <w:lvlText w:val=""/>
      <w:lvlJc w:val="left"/>
      <w:pPr>
        <w:ind w:hanging="360" w:left="4590"/>
      </w:pPr>
      <w:rPr>
        <w:rFonts w:ascii="Wingdings" w:hAnsi="Wingdings" w:hint="default"/>
      </w:rPr>
    </w:lvl>
    <w:lvl w:ilvl="6" w:tentative="1">
      <w:start w:val="1"/>
      <w:numFmt w:val="bullet"/>
      <w:suff w:val="tab"/>
      <w:lvlText w:val=""/>
      <w:lvlJc w:val="left"/>
      <w:pPr>
        <w:ind w:hanging="360" w:left="5310"/>
      </w:pPr>
      <w:rPr>
        <w:rFonts w:ascii="Symbol" w:hAnsi="Symbol" w:hint="default"/>
      </w:rPr>
    </w:lvl>
    <w:lvl w:ilvl="7" w:tentative="1">
      <w:start w:val="1"/>
      <w:numFmt w:val="bullet"/>
      <w:suff w:val="tab"/>
      <w:lvlText w:val="o"/>
      <w:lvlJc w:val="left"/>
      <w:pPr>
        <w:ind w:hanging="360" w:left="6030"/>
      </w:pPr>
      <w:rPr>
        <w:rFonts w:ascii="Courier New" w:cs="Courier New" w:hAnsi="Courier New" w:hint="default"/>
      </w:rPr>
    </w:lvl>
    <w:lvl w:ilvl="8" w:tentative="1">
      <w:start w:val="1"/>
      <w:numFmt w:val="bullet"/>
      <w:suff w:val="tab"/>
      <w:lvlText w:val=""/>
      <w:lvlJc w:val="left"/>
      <w:pPr>
        <w:ind w:hanging="360" w:left="6750"/>
      </w:pPr>
      <w:rPr>
        <w:rFonts w:ascii="Wingdings" w:hAnsi="Wingdings" w:hint="default"/>
      </w:rPr>
    </w:lvl>
  </w:abstractNum>
  <w:abstractNum w:abstractNumId="13">
    <w:nsid w:val="0000000D"/>
    <w:multiLevelType w:val="hybridMultilevel"/>
    <w:tmpl w:val="E830245E"/>
    <w:lvl w:ilvl="0">
      <w:start w:val="1"/>
      <w:numFmt w:val="lowerLetter"/>
      <w:suff w:val="tab"/>
      <w:lvlText w:val="%1."/>
      <w:lvlJc w:val="left"/>
      <w:pPr>
        <w:ind w:hanging="360" w:left="720"/>
      </w:pPr>
      <w:rPr>
        <w:rFonts w:hint="default"/>
      </w:rPr>
    </w:lvl>
    <w:lvl w:ilvl="1" w:tentative="1">
      <w:start w:val="1"/>
      <w:numFmt w:val="lowerLetter"/>
      <w:suff w:val="tab"/>
      <w:lvlText w:val="%2."/>
      <w:lvlJc w:val="left"/>
      <w:pPr>
        <w:ind w:hanging="360" w:left="1440"/>
      </w:pPr>
    </w:lvl>
    <w:lvl w:ilvl="2" w:tentative="1">
      <w:start w:val="1"/>
      <w:numFmt w:val="lowerRoman"/>
      <w:suff w:val="tab"/>
      <w:lvlText w:val="%3."/>
      <w:lvlJc w:val="right"/>
      <w:pPr>
        <w:ind w:hanging="180" w:left="2160"/>
      </w:pPr>
    </w:lvl>
    <w:lvl w:ilvl="3" w:tentative="1">
      <w:start w:val="1"/>
      <w:numFmt w:val="decimal"/>
      <w:suff w:val="tab"/>
      <w:lvlText w:val="%4."/>
      <w:lvlJc w:val="left"/>
      <w:pPr>
        <w:ind w:hanging="360" w:left="2880"/>
      </w:pPr>
    </w:lvl>
    <w:lvl w:ilvl="4" w:tentative="1">
      <w:start w:val="1"/>
      <w:numFmt w:val="lowerLetter"/>
      <w:suff w:val="tab"/>
      <w:lvlText w:val="%5."/>
      <w:lvlJc w:val="left"/>
      <w:pPr>
        <w:ind w:hanging="360" w:left="3600"/>
      </w:pPr>
    </w:lvl>
    <w:lvl w:ilvl="5" w:tentative="1">
      <w:start w:val="1"/>
      <w:numFmt w:val="lowerRoman"/>
      <w:suff w:val="tab"/>
      <w:lvlText w:val="%6."/>
      <w:lvlJc w:val="right"/>
      <w:pPr>
        <w:ind w:hanging="180" w:left="4320"/>
      </w:pPr>
    </w:lvl>
    <w:lvl w:ilvl="6" w:tentative="1">
      <w:start w:val="1"/>
      <w:numFmt w:val="decimal"/>
      <w:suff w:val="tab"/>
      <w:lvlText w:val="%7."/>
      <w:lvlJc w:val="left"/>
      <w:pPr>
        <w:ind w:hanging="360" w:left="5040"/>
      </w:pPr>
    </w:lvl>
    <w:lvl w:ilvl="7" w:tentative="1">
      <w:start w:val="1"/>
      <w:numFmt w:val="lowerLetter"/>
      <w:suff w:val="tab"/>
      <w:lvlText w:val="%8."/>
      <w:lvlJc w:val="left"/>
      <w:pPr>
        <w:ind w:hanging="360" w:left="5760"/>
      </w:pPr>
    </w:lvl>
    <w:lvl w:ilvl="8" w:tentative="1">
      <w:start w:val="1"/>
      <w:numFmt w:val="lowerRoman"/>
      <w:suff w:val="tab"/>
      <w:lvlText w:val="%9."/>
      <w:lvlJc w:val="right"/>
      <w:pPr>
        <w:ind w:hanging="180" w:left="6480"/>
      </w:pPr>
    </w:lvl>
  </w:abstractNum>
  <w:abstractNum w:abstractNumId="14">
    <w:nsid w:val="0000000E"/>
    <w:multiLevelType w:val="hybridMultilevel"/>
    <w:tmpl w:val="D77A2474"/>
    <w:lvl w:ilvl="0">
      <w:start w:val="1"/>
      <w:numFmt w:val="bullet"/>
      <w:suff w:val="tab"/>
      <w:lvlText w:val=""/>
      <w:lvlJc w:val="left"/>
      <w:pPr>
        <w:ind w:hanging="360" w:left="720"/>
      </w:pPr>
      <w:rPr>
        <w:rFonts w:ascii="Symbol" w:hAnsi="Symbol" w:hint="default"/>
      </w:rPr>
    </w:lvl>
    <w:lvl w:ilvl="1" w:tentative="1">
      <w:start w:val="1"/>
      <w:numFmt w:val="bullet"/>
      <w:suff w:val="tab"/>
      <w:lvlText w:val="o"/>
      <w:lvlJc w:val="left"/>
      <w:pPr>
        <w:ind w:hanging="360" w:left="1440"/>
      </w:pPr>
      <w:rPr>
        <w:rFonts w:ascii="Courier New" w:cs="Courier New" w:hAnsi="Courier New" w:hint="default"/>
      </w:rPr>
    </w:lvl>
    <w:lvl w:ilvl="2" w:tentative="1">
      <w:start w:val="1"/>
      <w:numFmt w:val="bullet"/>
      <w:suff w:val="tab"/>
      <w:lvlText w:val=""/>
      <w:lvlJc w:val="left"/>
      <w:pPr>
        <w:ind w:hanging="360" w:left="2160"/>
      </w:pPr>
      <w:rPr>
        <w:rFonts w:ascii="Wingdings" w:hAnsi="Wingdings" w:hint="default"/>
      </w:rPr>
    </w:lvl>
    <w:lvl w:ilvl="3" w:tentative="1">
      <w:start w:val="1"/>
      <w:numFmt w:val="bullet"/>
      <w:suff w:val="tab"/>
      <w:lvlText w:val=""/>
      <w:lvlJc w:val="left"/>
      <w:pPr>
        <w:ind w:hanging="360" w:left="2880"/>
      </w:pPr>
      <w:rPr>
        <w:rFonts w:ascii="Symbol" w:hAnsi="Symbol" w:hint="default"/>
      </w:rPr>
    </w:lvl>
    <w:lvl w:ilvl="4" w:tentative="1">
      <w:start w:val="1"/>
      <w:numFmt w:val="bullet"/>
      <w:suff w:val="tab"/>
      <w:lvlText w:val="o"/>
      <w:lvlJc w:val="left"/>
      <w:pPr>
        <w:ind w:hanging="360" w:left="3600"/>
      </w:pPr>
      <w:rPr>
        <w:rFonts w:ascii="Courier New" w:cs="Courier New" w:hAnsi="Courier New" w:hint="default"/>
      </w:rPr>
    </w:lvl>
    <w:lvl w:ilvl="5" w:tentative="1">
      <w:start w:val="1"/>
      <w:numFmt w:val="bullet"/>
      <w:suff w:val="tab"/>
      <w:lvlText w:val=""/>
      <w:lvlJc w:val="left"/>
      <w:pPr>
        <w:ind w:hanging="360" w:left="4320"/>
      </w:pPr>
      <w:rPr>
        <w:rFonts w:ascii="Wingdings" w:hAnsi="Wingdings" w:hint="default"/>
      </w:rPr>
    </w:lvl>
    <w:lvl w:ilvl="6" w:tentative="1">
      <w:start w:val="1"/>
      <w:numFmt w:val="bullet"/>
      <w:suff w:val="tab"/>
      <w:lvlText w:val=""/>
      <w:lvlJc w:val="left"/>
      <w:pPr>
        <w:ind w:hanging="360" w:left="5040"/>
      </w:pPr>
      <w:rPr>
        <w:rFonts w:ascii="Symbol" w:hAnsi="Symbol" w:hint="default"/>
      </w:rPr>
    </w:lvl>
    <w:lvl w:ilvl="7" w:tentative="1">
      <w:start w:val="1"/>
      <w:numFmt w:val="bullet"/>
      <w:suff w:val="tab"/>
      <w:lvlText w:val="o"/>
      <w:lvlJc w:val="left"/>
      <w:pPr>
        <w:ind w:hanging="360" w:left="5760"/>
      </w:pPr>
      <w:rPr>
        <w:rFonts w:ascii="Courier New" w:cs="Courier New" w:hAnsi="Courier New" w:hint="default"/>
      </w:rPr>
    </w:lvl>
    <w:lvl w:ilvl="8" w:tentative="1">
      <w:start w:val="1"/>
      <w:numFmt w:val="bullet"/>
      <w:suff w:val="tab"/>
      <w:lvlText w:val=""/>
      <w:lvlJc w:val="left"/>
      <w:pPr>
        <w:ind w:hanging="360" w:left="6480"/>
      </w:pPr>
      <w:rPr>
        <w:rFonts w:ascii="Wingdings" w:hAnsi="Wingdings" w:hint="default"/>
      </w:rPr>
    </w:lvl>
  </w:abstractNum>
  <w:abstractNum w:abstractNumId="15">
    <w:nsid w:val="0000000F"/>
    <w:multiLevelType w:val="multilevel"/>
    <w:tmpl w:val="521A3FDC"/>
    <w:lvl w:ilvl="0">
      <w:start w:val="1"/>
      <w:numFmt w:val="decimal"/>
      <w:suff w:val="tab"/>
      <w:lvlText w:val="%1."/>
      <w:lvlJc w:val="left"/>
      <w:pPr>
        <w:ind w:hanging="480" w:left="1200"/>
      </w:pPr>
      <w:rPr>
        <w:rFonts w:hint="default"/>
      </w:rPr>
    </w:lvl>
    <w:lvl w:ilvl="1">
      <w:start w:val="1"/>
      <w:numFmt w:val="decimal"/>
      <w:suff w:val="tab"/>
      <w:lvlText w:val="%1.%2."/>
      <w:lvlJc w:val="left"/>
      <w:pPr>
        <w:ind w:hanging="720" w:left="720"/>
      </w:pPr>
      <w:rPr>
        <w:rFonts w:hint="default"/>
      </w:rPr>
    </w:lvl>
    <w:lvl w:ilvl="2">
      <w:start w:val="1"/>
      <w:numFmt w:val="decimal"/>
      <w:suff w:val="tab"/>
      <w:lvlText w:val="%1.%2.%3."/>
      <w:lvlJc w:val="left"/>
      <w:pPr>
        <w:ind w:hanging="1080" w:left="1080"/>
      </w:pPr>
      <w:rPr>
        <w:rFonts w:hint="default"/>
      </w:rPr>
    </w:lvl>
    <w:lvl w:ilvl="3">
      <w:start w:val="1"/>
      <w:numFmt w:val="decimal"/>
      <w:suff w:val="tab"/>
      <w:lvlText w:val="%1.%2.%3.%4."/>
      <w:lvlJc w:val="left"/>
      <w:pPr>
        <w:ind w:hanging="1080" w:left="1080"/>
      </w:pPr>
      <w:rPr>
        <w:rFonts w:hint="default"/>
      </w:rPr>
    </w:lvl>
    <w:lvl w:ilvl="4">
      <w:start w:val="1"/>
      <w:numFmt w:val="decimal"/>
      <w:suff w:val="tab"/>
      <w:lvlText w:val="%1.%2.%3.%4.%5."/>
      <w:lvlJc w:val="left"/>
      <w:pPr>
        <w:ind w:hanging="1440" w:left="1440"/>
      </w:pPr>
      <w:rPr>
        <w:rFonts w:hint="default"/>
      </w:rPr>
    </w:lvl>
    <w:lvl w:ilvl="5">
      <w:start w:val="1"/>
      <w:numFmt w:val="decimal"/>
      <w:suff w:val="tab"/>
      <w:lvlText w:val="%1.%2.%3.%4.%5.%6."/>
      <w:lvlJc w:val="left"/>
      <w:pPr>
        <w:ind w:hanging="1800" w:left="1800"/>
      </w:pPr>
      <w:rPr>
        <w:rFonts w:hint="default"/>
      </w:rPr>
    </w:lvl>
    <w:lvl w:ilvl="6">
      <w:start w:val="1"/>
      <w:numFmt w:val="decimal"/>
      <w:suff w:val="tab"/>
      <w:lvlText w:val="%1.%2.%3.%4.%5.%6.%7."/>
      <w:lvlJc w:val="left"/>
      <w:pPr>
        <w:ind w:hanging="2160" w:left="2160"/>
      </w:pPr>
      <w:rPr>
        <w:rFonts w:hint="default"/>
      </w:rPr>
    </w:lvl>
    <w:lvl w:ilvl="7">
      <w:start w:val="1"/>
      <w:numFmt w:val="decimal"/>
      <w:suff w:val="tab"/>
      <w:lvlText w:val="%1.%2.%3.%4.%5.%6.%7.%8."/>
      <w:lvlJc w:val="left"/>
      <w:pPr>
        <w:ind w:hanging="2160" w:left="2160"/>
      </w:pPr>
      <w:rPr>
        <w:rFonts w:hint="default"/>
      </w:rPr>
    </w:lvl>
    <w:lvl w:ilvl="8">
      <w:start w:val="1"/>
      <w:numFmt w:val="decimal"/>
      <w:suff w:val="tab"/>
      <w:lvlText w:val="%1.%2.%3.%4.%5.%6.%7.%8.%9."/>
      <w:lvlJc w:val="left"/>
      <w:pPr>
        <w:ind w:hanging="2520" w:left="2520"/>
      </w:pPr>
      <w:rPr>
        <w:rFonts w:hint="default"/>
      </w:rPr>
    </w:lvl>
  </w:abstractNum>
  <w:abstractNum w:abstractNumId="16">
    <w:nsid w:val="00000011"/>
    <w:multiLevelType w:val="hybridMultilevel"/>
    <w:tmpl w:val="FDBCCBC0"/>
    <w:lvl w:ilvl="0">
      <w:start w:val="1"/>
      <w:numFmt w:val="lowerRoman"/>
      <w:suff w:val="tab"/>
      <w:lvlText w:val="%1)"/>
      <w:lvlJc w:val="left"/>
      <w:pPr>
        <w:ind w:hanging="720" w:left="2070"/>
      </w:pPr>
      <w:rPr>
        <w:rFonts w:hint="default"/>
      </w:rPr>
    </w:lvl>
    <w:lvl w:ilvl="1" w:tentative="1">
      <w:start w:val="1"/>
      <w:numFmt w:val="lowerLetter"/>
      <w:suff w:val="tab"/>
      <w:lvlText w:val="%2."/>
      <w:lvlJc w:val="left"/>
      <w:pPr>
        <w:ind w:hanging="360" w:left="2430"/>
      </w:pPr>
    </w:lvl>
    <w:lvl w:ilvl="2" w:tentative="1">
      <w:start w:val="1"/>
      <w:numFmt w:val="lowerRoman"/>
      <w:suff w:val="tab"/>
      <w:lvlText w:val="%3."/>
      <w:lvlJc w:val="right"/>
      <w:pPr>
        <w:ind w:hanging="180" w:left="3150"/>
      </w:pPr>
    </w:lvl>
    <w:lvl w:ilvl="3" w:tentative="1">
      <w:start w:val="1"/>
      <w:numFmt w:val="decimal"/>
      <w:suff w:val="tab"/>
      <w:lvlText w:val="%4."/>
      <w:lvlJc w:val="left"/>
      <w:pPr>
        <w:ind w:hanging="360" w:left="3870"/>
      </w:pPr>
    </w:lvl>
    <w:lvl w:ilvl="4" w:tentative="1">
      <w:start w:val="1"/>
      <w:numFmt w:val="lowerLetter"/>
      <w:suff w:val="tab"/>
      <w:lvlText w:val="%5."/>
      <w:lvlJc w:val="left"/>
      <w:pPr>
        <w:ind w:hanging="360" w:left="4590"/>
      </w:pPr>
    </w:lvl>
    <w:lvl w:ilvl="5" w:tentative="1">
      <w:start w:val="1"/>
      <w:numFmt w:val="lowerRoman"/>
      <w:suff w:val="tab"/>
      <w:lvlText w:val="%6."/>
      <w:lvlJc w:val="right"/>
      <w:pPr>
        <w:ind w:hanging="180" w:left="5310"/>
      </w:pPr>
    </w:lvl>
    <w:lvl w:ilvl="6" w:tentative="1">
      <w:start w:val="1"/>
      <w:numFmt w:val="decimal"/>
      <w:suff w:val="tab"/>
      <w:lvlText w:val="%7."/>
      <w:lvlJc w:val="left"/>
      <w:pPr>
        <w:ind w:hanging="360" w:left="6030"/>
      </w:pPr>
    </w:lvl>
    <w:lvl w:ilvl="7" w:tentative="1">
      <w:start w:val="1"/>
      <w:numFmt w:val="lowerLetter"/>
      <w:suff w:val="tab"/>
      <w:lvlText w:val="%8."/>
      <w:lvlJc w:val="left"/>
      <w:pPr>
        <w:ind w:hanging="360" w:left="6750"/>
      </w:pPr>
    </w:lvl>
    <w:lvl w:ilvl="8" w:tentative="1">
      <w:start w:val="1"/>
      <w:numFmt w:val="lowerRoman"/>
      <w:suff w:val="tab"/>
      <w:lvlText w:val="%9."/>
      <w:lvlJc w:val="right"/>
      <w:pPr>
        <w:ind w:hanging="180" w:left="7470"/>
      </w:pPr>
    </w:lvl>
  </w:abstractNum>
  <w:abstractNum w:abstractNumId="17">
    <w:nsid w:val="00000010"/>
    <w:multiLevelType w:val="hybridMultilevel"/>
    <w:tmpl w:val="BC86F4B8"/>
    <w:lvl w:ilvl="0">
      <w:start w:val="1"/>
      <w:numFmt w:val="decimal"/>
      <w:suff w:val="tab"/>
      <w:lvlText w:val="%1."/>
      <w:lvlJc w:val="left"/>
      <w:pPr>
        <w:ind w:hanging="360" w:left="720"/>
      </w:pPr>
      <w:rPr>
        <w:rFonts w:hint="default"/>
      </w:rPr>
    </w:lvl>
    <w:lvl w:ilvl="1" w:tentative="1">
      <w:start w:val="1"/>
      <w:numFmt w:val="lowerLetter"/>
      <w:suff w:val="tab"/>
      <w:lvlText w:val="%2."/>
      <w:lvlJc w:val="left"/>
      <w:pPr>
        <w:ind w:hanging="360" w:left="1440"/>
      </w:pPr>
    </w:lvl>
    <w:lvl w:ilvl="2" w:tentative="1">
      <w:start w:val="1"/>
      <w:numFmt w:val="lowerRoman"/>
      <w:suff w:val="tab"/>
      <w:lvlText w:val="%3."/>
      <w:lvlJc w:val="right"/>
      <w:pPr>
        <w:ind w:hanging="180" w:left="2160"/>
      </w:pPr>
    </w:lvl>
    <w:lvl w:ilvl="3" w:tentative="1">
      <w:start w:val="1"/>
      <w:numFmt w:val="decimal"/>
      <w:suff w:val="tab"/>
      <w:lvlText w:val="%4."/>
      <w:lvlJc w:val="left"/>
      <w:pPr>
        <w:ind w:hanging="360" w:left="2880"/>
      </w:pPr>
    </w:lvl>
    <w:lvl w:ilvl="4" w:tentative="1">
      <w:start w:val="1"/>
      <w:numFmt w:val="lowerLetter"/>
      <w:suff w:val="tab"/>
      <w:lvlText w:val="%5."/>
      <w:lvlJc w:val="left"/>
      <w:pPr>
        <w:ind w:hanging="360" w:left="3600"/>
      </w:pPr>
    </w:lvl>
    <w:lvl w:ilvl="5" w:tentative="1">
      <w:start w:val="1"/>
      <w:numFmt w:val="lowerRoman"/>
      <w:suff w:val="tab"/>
      <w:lvlText w:val="%6."/>
      <w:lvlJc w:val="right"/>
      <w:pPr>
        <w:ind w:hanging="180" w:left="4320"/>
      </w:pPr>
    </w:lvl>
    <w:lvl w:ilvl="6" w:tentative="1">
      <w:start w:val="1"/>
      <w:numFmt w:val="decimal"/>
      <w:suff w:val="tab"/>
      <w:lvlText w:val="%7."/>
      <w:lvlJc w:val="left"/>
      <w:pPr>
        <w:ind w:hanging="360" w:left="5040"/>
      </w:pPr>
    </w:lvl>
    <w:lvl w:ilvl="7" w:tentative="1">
      <w:start w:val="1"/>
      <w:numFmt w:val="lowerLetter"/>
      <w:suff w:val="tab"/>
      <w:lvlText w:val="%8."/>
      <w:lvlJc w:val="left"/>
      <w:pPr>
        <w:ind w:hanging="360" w:left="5760"/>
      </w:pPr>
    </w:lvl>
    <w:lvl w:ilvl="8" w:tentative="1">
      <w:start w:val="1"/>
      <w:numFmt w:val="lowerRoman"/>
      <w:suff w:val="tab"/>
      <w:lvlText w:val="%9."/>
      <w:lvlJc w:val="right"/>
      <w:pPr>
        <w:ind w:hanging="180" w:left="6480"/>
      </w:pPr>
    </w:lvl>
  </w:abstractNum>
  <w:abstractNum w:abstractNumId="18">
    <w:nsid w:val="00000013"/>
    <w:multiLevelType w:val="hybridMultilevel"/>
    <w:tmpl w:val="DD78E7A0"/>
    <w:lvl w:ilvl="0">
      <w:start w:val="1"/>
      <w:numFmt w:val="lowerLetter"/>
      <w:suff w:val="tab"/>
      <w:lvlText w:val="%1."/>
      <w:lvlJc w:val="left"/>
      <w:pPr>
        <w:ind w:hanging="360" w:left="900"/>
      </w:pPr>
      <w:rPr>
        <w:rFonts w:hint="default"/>
      </w:rPr>
    </w:lvl>
    <w:lvl w:ilvl="1" w:tentative="1">
      <w:start w:val="1"/>
      <w:numFmt w:val="lowerLetter"/>
      <w:suff w:val="tab"/>
      <w:lvlText w:val="%2."/>
      <w:lvlJc w:val="left"/>
      <w:pPr>
        <w:ind w:hanging="360" w:left="2430"/>
      </w:pPr>
    </w:lvl>
    <w:lvl w:ilvl="2" w:tentative="1">
      <w:start w:val="1"/>
      <w:numFmt w:val="lowerRoman"/>
      <w:suff w:val="tab"/>
      <w:lvlText w:val="%3."/>
      <w:lvlJc w:val="right"/>
      <w:pPr>
        <w:ind w:hanging="180" w:left="3150"/>
      </w:pPr>
    </w:lvl>
    <w:lvl w:ilvl="3" w:tentative="1">
      <w:start w:val="1"/>
      <w:numFmt w:val="decimal"/>
      <w:suff w:val="tab"/>
      <w:lvlText w:val="%4."/>
      <w:lvlJc w:val="left"/>
      <w:pPr>
        <w:ind w:hanging="360" w:left="3870"/>
      </w:pPr>
    </w:lvl>
    <w:lvl w:ilvl="4" w:tentative="1">
      <w:start w:val="1"/>
      <w:numFmt w:val="lowerLetter"/>
      <w:suff w:val="tab"/>
      <w:lvlText w:val="%5."/>
      <w:lvlJc w:val="left"/>
      <w:pPr>
        <w:ind w:hanging="360" w:left="4590"/>
      </w:pPr>
    </w:lvl>
    <w:lvl w:ilvl="5" w:tentative="1">
      <w:start w:val="1"/>
      <w:numFmt w:val="lowerRoman"/>
      <w:suff w:val="tab"/>
      <w:lvlText w:val="%6."/>
      <w:lvlJc w:val="right"/>
      <w:pPr>
        <w:ind w:hanging="180" w:left="5310"/>
      </w:pPr>
    </w:lvl>
    <w:lvl w:ilvl="6" w:tentative="1">
      <w:start w:val="1"/>
      <w:numFmt w:val="decimal"/>
      <w:suff w:val="tab"/>
      <w:lvlText w:val="%7."/>
      <w:lvlJc w:val="left"/>
      <w:pPr>
        <w:ind w:hanging="360" w:left="6030"/>
      </w:pPr>
    </w:lvl>
    <w:lvl w:ilvl="7" w:tentative="1">
      <w:start w:val="1"/>
      <w:numFmt w:val="lowerLetter"/>
      <w:suff w:val="tab"/>
      <w:lvlText w:val="%8."/>
      <w:lvlJc w:val="left"/>
      <w:pPr>
        <w:ind w:hanging="360" w:left="6750"/>
      </w:pPr>
    </w:lvl>
    <w:lvl w:ilvl="8" w:tentative="1">
      <w:start w:val="1"/>
      <w:numFmt w:val="lowerRoman"/>
      <w:suff w:val="tab"/>
      <w:lvlText w:val="%9."/>
      <w:lvlJc w:val="right"/>
      <w:pPr>
        <w:ind w:hanging="180" w:left="7470"/>
      </w:pPr>
    </w:lvl>
  </w:abstractNum>
  <w:abstractNum w:abstractNumId="19">
    <w:nsid w:val="00000012"/>
    <w:multiLevelType w:val="hybridMultilevel"/>
    <w:tmpl w:val="540CE392"/>
    <w:lvl w:ilvl="0">
      <w:start w:val="1"/>
      <w:numFmt w:val="lowerRoman"/>
      <w:suff w:val="tab"/>
      <w:lvlText w:val="%1)"/>
      <w:lvlJc w:val="left"/>
      <w:pPr>
        <w:ind w:hanging="720" w:left="1260"/>
      </w:pPr>
      <w:rPr>
        <w:rFonts w:hint="default"/>
      </w:rPr>
    </w:lvl>
    <w:lvl w:ilvl="1" w:tentative="1">
      <w:start w:val="1"/>
      <w:numFmt w:val="lowerLetter"/>
      <w:suff w:val="tab"/>
      <w:lvlText w:val="%2."/>
      <w:lvlJc w:val="left"/>
      <w:pPr>
        <w:ind w:hanging="360" w:left="2790"/>
      </w:pPr>
    </w:lvl>
    <w:lvl w:ilvl="2" w:tentative="1">
      <w:start w:val="1"/>
      <w:numFmt w:val="lowerRoman"/>
      <w:suff w:val="tab"/>
      <w:lvlText w:val="%3."/>
      <w:lvlJc w:val="right"/>
      <w:pPr>
        <w:ind w:hanging="180" w:left="3510"/>
      </w:pPr>
    </w:lvl>
    <w:lvl w:ilvl="3" w:tentative="1">
      <w:start w:val="1"/>
      <w:numFmt w:val="decimal"/>
      <w:suff w:val="tab"/>
      <w:lvlText w:val="%4."/>
      <w:lvlJc w:val="left"/>
      <w:pPr>
        <w:ind w:hanging="360" w:left="4230"/>
      </w:pPr>
    </w:lvl>
    <w:lvl w:ilvl="4" w:tentative="1">
      <w:start w:val="1"/>
      <w:numFmt w:val="lowerLetter"/>
      <w:suff w:val="tab"/>
      <w:lvlText w:val="%5."/>
      <w:lvlJc w:val="left"/>
      <w:pPr>
        <w:ind w:hanging="360" w:left="4950"/>
      </w:pPr>
    </w:lvl>
    <w:lvl w:ilvl="5" w:tentative="1">
      <w:start w:val="1"/>
      <w:numFmt w:val="lowerRoman"/>
      <w:suff w:val="tab"/>
      <w:lvlText w:val="%6."/>
      <w:lvlJc w:val="right"/>
      <w:pPr>
        <w:ind w:hanging="180" w:left="5670"/>
      </w:pPr>
    </w:lvl>
    <w:lvl w:ilvl="6" w:tentative="1">
      <w:start w:val="1"/>
      <w:numFmt w:val="decimal"/>
      <w:suff w:val="tab"/>
      <w:lvlText w:val="%7."/>
      <w:lvlJc w:val="left"/>
      <w:pPr>
        <w:ind w:hanging="360" w:left="6390"/>
      </w:pPr>
    </w:lvl>
    <w:lvl w:ilvl="7" w:tentative="1">
      <w:start w:val="1"/>
      <w:numFmt w:val="lowerLetter"/>
      <w:suff w:val="tab"/>
      <w:lvlText w:val="%8."/>
      <w:lvlJc w:val="left"/>
      <w:pPr>
        <w:ind w:hanging="360" w:left="7110"/>
      </w:pPr>
    </w:lvl>
    <w:lvl w:ilvl="8" w:tentative="1">
      <w:start w:val="1"/>
      <w:numFmt w:val="lowerRoman"/>
      <w:suff w:val="tab"/>
      <w:lvlText w:val="%9."/>
      <w:lvlJc w:val="right"/>
      <w:pPr>
        <w:ind w:hanging="180" w:left="7830"/>
      </w:pPr>
    </w:lvl>
  </w:abstractNum>
  <w:abstractNum w:abstractNumId="20">
    <w:nsid w:val="00000015"/>
    <w:multiLevelType w:val="hybridMultilevel"/>
    <w:tmpl w:val="2DBAAAE4"/>
    <w:lvl w:ilvl="0">
      <w:start w:val="1"/>
      <w:numFmt w:val="bullet"/>
      <w:suff w:val="tab"/>
      <w:lvlText w:val=""/>
      <w:lvlJc w:val="left"/>
      <w:pPr>
        <w:ind w:hanging="360" w:left="766"/>
      </w:pPr>
      <w:rPr>
        <w:rFonts w:ascii="Wingdings" w:hAnsi="Wingdings" w:hint="default"/>
        <w:color w:val="auto"/>
      </w:rPr>
    </w:lvl>
    <w:lvl w:ilvl="1" w:tentative="1">
      <w:start w:val="1"/>
      <w:numFmt w:val="bullet"/>
      <w:suff w:val="tab"/>
      <w:lvlText w:val="o"/>
      <w:lvlJc w:val="left"/>
      <w:pPr>
        <w:ind w:hanging="360" w:left="1486"/>
      </w:pPr>
      <w:rPr>
        <w:rFonts w:ascii="Courier New" w:cs="Courier New" w:hAnsi="Courier New" w:hint="default"/>
      </w:rPr>
    </w:lvl>
    <w:lvl w:ilvl="2" w:tentative="1">
      <w:start w:val="1"/>
      <w:numFmt w:val="bullet"/>
      <w:suff w:val="tab"/>
      <w:lvlText w:val=""/>
      <w:lvlJc w:val="left"/>
      <w:pPr>
        <w:ind w:hanging="360" w:left="2206"/>
      </w:pPr>
      <w:rPr>
        <w:rFonts w:ascii="Wingdings" w:hAnsi="Wingdings" w:hint="default"/>
      </w:rPr>
    </w:lvl>
    <w:lvl w:ilvl="3" w:tentative="1">
      <w:start w:val="1"/>
      <w:numFmt w:val="bullet"/>
      <w:suff w:val="tab"/>
      <w:lvlText w:val=""/>
      <w:lvlJc w:val="left"/>
      <w:pPr>
        <w:ind w:hanging="360" w:left="2926"/>
      </w:pPr>
      <w:rPr>
        <w:rFonts w:ascii="Symbol" w:hAnsi="Symbol" w:hint="default"/>
      </w:rPr>
    </w:lvl>
    <w:lvl w:ilvl="4" w:tentative="1">
      <w:start w:val="1"/>
      <w:numFmt w:val="bullet"/>
      <w:suff w:val="tab"/>
      <w:lvlText w:val="o"/>
      <w:lvlJc w:val="left"/>
      <w:pPr>
        <w:ind w:hanging="360" w:left="3646"/>
      </w:pPr>
      <w:rPr>
        <w:rFonts w:ascii="Courier New" w:cs="Courier New" w:hAnsi="Courier New" w:hint="default"/>
      </w:rPr>
    </w:lvl>
    <w:lvl w:ilvl="5" w:tentative="1">
      <w:start w:val="1"/>
      <w:numFmt w:val="bullet"/>
      <w:suff w:val="tab"/>
      <w:lvlText w:val=""/>
      <w:lvlJc w:val="left"/>
      <w:pPr>
        <w:ind w:hanging="360" w:left="4366"/>
      </w:pPr>
      <w:rPr>
        <w:rFonts w:ascii="Wingdings" w:hAnsi="Wingdings" w:hint="default"/>
      </w:rPr>
    </w:lvl>
    <w:lvl w:ilvl="6" w:tentative="1">
      <w:start w:val="1"/>
      <w:numFmt w:val="bullet"/>
      <w:suff w:val="tab"/>
      <w:lvlText w:val=""/>
      <w:lvlJc w:val="left"/>
      <w:pPr>
        <w:ind w:hanging="360" w:left="5086"/>
      </w:pPr>
      <w:rPr>
        <w:rFonts w:ascii="Symbol" w:hAnsi="Symbol" w:hint="default"/>
      </w:rPr>
    </w:lvl>
    <w:lvl w:ilvl="7" w:tentative="1">
      <w:start w:val="1"/>
      <w:numFmt w:val="bullet"/>
      <w:suff w:val="tab"/>
      <w:lvlText w:val="o"/>
      <w:lvlJc w:val="left"/>
      <w:pPr>
        <w:ind w:hanging="360" w:left="5806"/>
      </w:pPr>
      <w:rPr>
        <w:rFonts w:ascii="Courier New" w:cs="Courier New" w:hAnsi="Courier New" w:hint="default"/>
      </w:rPr>
    </w:lvl>
    <w:lvl w:ilvl="8" w:tentative="1">
      <w:start w:val="1"/>
      <w:numFmt w:val="bullet"/>
      <w:suff w:val="tab"/>
      <w:lvlText w:val=""/>
      <w:lvlJc w:val="left"/>
      <w:pPr>
        <w:ind w:hanging="360" w:left="6526"/>
      </w:pPr>
      <w:rPr>
        <w:rFonts w:ascii="Wingdings" w:hAnsi="Wingdings" w:hint="default"/>
      </w:rPr>
    </w:lvl>
  </w:abstractNum>
  <w:abstractNum w:abstractNumId="21">
    <w:nsid w:val="00000014"/>
    <w:multiLevelType w:val="hybridMultilevel"/>
    <w:tmpl w:val="C444F0EC"/>
    <w:lvl w:ilvl="0">
      <w:start w:val="1"/>
      <w:numFmt w:val="bullet"/>
      <w:suff w:val="tab"/>
      <w:lvlText w:val=""/>
      <w:lvlJc w:val="left"/>
      <w:pPr>
        <w:ind w:hanging="360" w:left="720"/>
      </w:pPr>
      <w:rPr>
        <w:rFonts w:ascii="Wingdings" w:hAnsi="Wingdings" w:hint="default"/>
      </w:rPr>
    </w:lvl>
    <w:lvl w:ilvl="1" w:tentative="1">
      <w:start w:val="1"/>
      <w:numFmt w:val="bullet"/>
      <w:suff w:val="tab"/>
      <w:lvlText w:val="o"/>
      <w:lvlJc w:val="left"/>
      <w:pPr>
        <w:ind w:hanging="360" w:left="1440"/>
      </w:pPr>
      <w:rPr>
        <w:rFonts w:ascii="Courier New" w:cs="Courier New" w:hAnsi="Courier New" w:hint="default"/>
      </w:rPr>
    </w:lvl>
    <w:lvl w:ilvl="2" w:tentative="1">
      <w:start w:val="1"/>
      <w:numFmt w:val="bullet"/>
      <w:suff w:val="tab"/>
      <w:lvlText w:val=""/>
      <w:lvlJc w:val="left"/>
      <w:pPr>
        <w:ind w:hanging="360" w:left="2160"/>
      </w:pPr>
      <w:rPr>
        <w:rFonts w:ascii="Wingdings" w:hAnsi="Wingdings" w:hint="default"/>
      </w:rPr>
    </w:lvl>
    <w:lvl w:ilvl="3" w:tentative="1">
      <w:start w:val="1"/>
      <w:numFmt w:val="bullet"/>
      <w:suff w:val="tab"/>
      <w:lvlText w:val=""/>
      <w:lvlJc w:val="left"/>
      <w:pPr>
        <w:ind w:hanging="360" w:left="2880"/>
      </w:pPr>
      <w:rPr>
        <w:rFonts w:ascii="Symbol" w:hAnsi="Symbol" w:hint="default"/>
      </w:rPr>
    </w:lvl>
    <w:lvl w:ilvl="4" w:tentative="1">
      <w:start w:val="1"/>
      <w:numFmt w:val="bullet"/>
      <w:suff w:val="tab"/>
      <w:lvlText w:val="o"/>
      <w:lvlJc w:val="left"/>
      <w:pPr>
        <w:ind w:hanging="360" w:left="3600"/>
      </w:pPr>
      <w:rPr>
        <w:rFonts w:ascii="Courier New" w:cs="Courier New" w:hAnsi="Courier New" w:hint="default"/>
      </w:rPr>
    </w:lvl>
    <w:lvl w:ilvl="5" w:tentative="1">
      <w:start w:val="1"/>
      <w:numFmt w:val="bullet"/>
      <w:suff w:val="tab"/>
      <w:lvlText w:val=""/>
      <w:lvlJc w:val="left"/>
      <w:pPr>
        <w:ind w:hanging="360" w:left="4320"/>
      </w:pPr>
      <w:rPr>
        <w:rFonts w:ascii="Wingdings" w:hAnsi="Wingdings" w:hint="default"/>
      </w:rPr>
    </w:lvl>
    <w:lvl w:ilvl="6" w:tentative="1">
      <w:start w:val="1"/>
      <w:numFmt w:val="bullet"/>
      <w:suff w:val="tab"/>
      <w:lvlText w:val=""/>
      <w:lvlJc w:val="left"/>
      <w:pPr>
        <w:ind w:hanging="360" w:left="5040"/>
      </w:pPr>
      <w:rPr>
        <w:rFonts w:ascii="Symbol" w:hAnsi="Symbol" w:hint="default"/>
      </w:rPr>
    </w:lvl>
    <w:lvl w:ilvl="7" w:tentative="1">
      <w:start w:val="1"/>
      <w:numFmt w:val="bullet"/>
      <w:suff w:val="tab"/>
      <w:lvlText w:val="o"/>
      <w:lvlJc w:val="left"/>
      <w:pPr>
        <w:ind w:hanging="360" w:left="5760"/>
      </w:pPr>
      <w:rPr>
        <w:rFonts w:ascii="Courier New" w:cs="Courier New" w:hAnsi="Courier New" w:hint="default"/>
      </w:rPr>
    </w:lvl>
    <w:lvl w:ilvl="8" w:tentative="1">
      <w:start w:val="1"/>
      <w:numFmt w:val="bullet"/>
      <w:suff w:val="tab"/>
      <w:lvlText w:val=""/>
      <w:lvlJc w:val="left"/>
      <w:pPr>
        <w:ind w:hanging="360" w:left="6480"/>
      </w:pPr>
      <w:rPr>
        <w:rFonts w:ascii="Wingdings" w:hAnsi="Wingdings" w:hint="default"/>
      </w:rPr>
    </w:lvl>
  </w:abstractNum>
  <w:abstractNum w:abstractNumId="22">
    <w:nsid w:val="00000017"/>
    <w:multiLevelType w:val="hybridMultilevel"/>
    <w:tmpl w:val="FDBCCBC0"/>
    <w:lvl w:ilvl="0">
      <w:start w:val="1"/>
      <w:numFmt w:val="lowerRoman"/>
      <w:suff w:val="tab"/>
      <w:lvlText w:val="%1)"/>
      <w:lvlJc w:val="left"/>
      <w:pPr>
        <w:ind w:hanging="720" w:left="2070"/>
      </w:pPr>
      <w:rPr>
        <w:rFonts w:hint="default"/>
      </w:rPr>
    </w:lvl>
    <w:lvl w:ilvl="1" w:tentative="1">
      <w:start w:val="1"/>
      <w:numFmt w:val="lowerLetter"/>
      <w:suff w:val="tab"/>
      <w:lvlText w:val="%2."/>
      <w:lvlJc w:val="left"/>
      <w:pPr>
        <w:ind w:hanging="360" w:left="2430"/>
      </w:pPr>
    </w:lvl>
    <w:lvl w:ilvl="2" w:tentative="1">
      <w:start w:val="1"/>
      <w:numFmt w:val="lowerRoman"/>
      <w:suff w:val="tab"/>
      <w:lvlText w:val="%3."/>
      <w:lvlJc w:val="right"/>
      <w:pPr>
        <w:ind w:hanging="180" w:left="3150"/>
      </w:pPr>
    </w:lvl>
    <w:lvl w:ilvl="3" w:tentative="1">
      <w:start w:val="1"/>
      <w:numFmt w:val="decimal"/>
      <w:suff w:val="tab"/>
      <w:lvlText w:val="%4."/>
      <w:lvlJc w:val="left"/>
      <w:pPr>
        <w:ind w:hanging="360" w:left="3870"/>
      </w:pPr>
    </w:lvl>
    <w:lvl w:ilvl="4" w:tentative="1">
      <w:start w:val="1"/>
      <w:numFmt w:val="lowerLetter"/>
      <w:suff w:val="tab"/>
      <w:lvlText w:val="%5."/>
      <w:lvlJc w:val="left"/>
      <w:pPr>
        <w:ind w:hanging="360" w:left="4590"/>
      </w:pPr>
    </w:lvl>
    <w:lvl w:ilvl="5" w:tentative="1">
      <w:start w:val="1"/>
      <w:numFmt w:val="lowerRoman"/>
      <w:suff w:val="tab"/>
      <w:lvlText w:val="%6."/>
      <w:lvlJc w:val="right"/>
      <w:pPr>
        <w:ind w:hanging="180" w:left="5310"/>
      </w:pPr>
    </w:lvl>
    <w:lvl w:ilvl="6" w:tentative="1">
      <w:start w:val="1"/>
      <w:numFmt w:val="decimal"/>
      <w:suff w:val="tab"/>
      <w:lvlText w:val="%7."/>
      <w:lvlJc w:val="left"/>
      <w:pPr>
        <w:ind w:hanging="360" w:left="6030"/>
      </w:pPr>
    </w:lvl>
    <w:lvl w:ilvl="7" w:tentative="1">
      <w:start w:val="1"/>
      <w:numFmt w:val="lowerLetter"/>
      <w:suff w:val="tab"/>
      <w:lvlText w:val="%8."/>
      <w:lvlJc w:val="left"/>
      <w:pPr>
        <w:ind w:hanging="360" w:left="6750"/>
      </w:pPr>
    </w:lvl>
    <w:lvl w:ilvl="8" w:tentative="1">
      <w:start w:val="1"/>
      <w:numFmt w:val="lowerRoman"/>
      <w:suff w:val="tab"/>
      <w:lvlText w:val="%9."/>
      <w:lvlJc w:val="right"/>
      <w:pPr>
        <w:ind w:hanging="180" w:left="7470"/>
      </w:pPr>
    </w:lvl>
  </w:abstractNum>
  <w:abstractNum w:abstractNumId="23">
    <w:nsid w:val="00000016"/>
    <w:multiLevelType w:val="multilevel"/>
    <w:tmpl w:val="C57810EC"/>
    <w:lvl w:ilvl="0">
      <w:start w:val="1"/>
      <w:numFmt w:val="decimal"/>
      <w:suff w:val="tab"/>
      <w:lvlText w:val="%1."/>
      <w:lvlJc w:val="left"/>
      <w:pPr>
        <w:ind w:hanging="360" w:left="360"/>
      </w:pPr>
      <w:rPr>
        <w:rFonts w:hint="default"/>
        <w:color w:val="365f91"/>
      </w:rPr>
    </w:lvl>
    <w:lvl w:ilvl="1">
      <w:start w:val="1"/>
      <w:numFmt w:val="decimal"/>
      <w:suff w:val="tab"/>
      <w:lvlText w:val="%1.%2."/>
      <w:lvlJc w:val="left"/>
      <w:pPr>
        <w:ind w:hanging="360" w:left="720"/>
      </w:pPr>
      <w:rPr>
        <w:rFonts w:hint="default"/>
        <w:color w:val="365f91"/>
      </w:rPr>
    </w:lvl>
    <w:lvl w:ilvl="2">
      <w:start w:val="1"/>
      <w:numFmt w:val="decimal"/>
      <w:suff w:val="tab"/>
      <w:lvlText w:val="%1.%2.%3."/>
      <w:lvlJc w:val="left"/>
      <w:pPr>
        <w:ind w:hanging="720" w:left="1440"/>
      </w:pPr>
      <w:rPr>
        <w:rFonts w:hint="default"/>
        <w:color w:val="365f91"/>
      </w:rPr>
    </w:lvl>
    <w:lvl w:ilvl="3">
      <w:start w:val="1"/>
      <w:numFmt w:val="decimal"/>
      <w:suff w:val="tab"/>
      <w:lvlText w:val="%1.%2.%3.%4."/>
      <w:lvlJc w:val="left"/>
      <w:pPr>
        <w:ind w:hanging="720" w:left="1800"/>
      </w:pPr>
      <w:rPr>
        <w:rFonts w:hint="default"/>
        <w:color w:val="365f91"/>
      </w:rPr>
    </w:lvl>
    <w:lvl w:ilvl="4">
      <w:start w:val="1"/>
      <w:numFmt w:val="decimal"/>
      <w:suff w:val="tab"/>
      <w:lvlText w:val="%1.%2.%3.%4.%5."/>
      <w:lvlJc w:val="left"/>
      <w:pPr>
        <w:ind w:hanging="1080" w:left="2520"/>
      </w:pPr>
      <w:rPr>
        <w:rFonts w:hint="default"/>
        <w:color w:val="365f91"/>
      </w:rPr>
    </w:lvl>
    <w:lvl w:ilvl="5">
      <w:start w:val="1"/>
      <w:numFmt w:val="decimal"/>
      <w:suff w:val="tab"/>
      <w:lvlText w:val="%1.%2.%3.%4.%5.%6."/>
      <w:lvlJc w:val="left"/>
      <w:pPr>
        <w:ind w:hanging="1080" w:left="2880"/>
      </w:pPr>
      <w:rPr>
        <w:rFonts w:hint="default"/>
        <w:color w:val="365f91"/>
      </w:rPr>
    </w:lvl>
    <w:lvl w:ilvl="6">
      <w:start w:val="1"/>
      <w:numFmt w:val="decimal"/>
      <w:suff w:val="tab"/>
      <w:lvlText w:val="%1.%2.%3.%4.%5.%6.%7."/>
      <w:lvlJc w:val="left"/>
      <w:pPr>
        <w:ind w:hanging="1080" w:left="3240"/>
      </w:pPr>
      <w:rPr>
        <w:rFonts w:hint="default"/>
        <w:color w:val="365f91"/>
      </w:rPr>
    </w:lvl>
    <w:lvl w:ilvl="7">
      <w:start w:val="1"/>
      <w:numFmt w:val="decimal"/>
      <w:suff w:val="tab"/>
      <w:lvlText w:val="%1.%2.%3.%4.%5.%6.%7.%8."/>
      <w:lvlJc w:val="left"/>
      <w:pPr>
        <w:ind w:hanging="1440" w:left="3960"/>
      </w:pPr>
      <w:rPr>
        <w:rFonts w:hint="default"/>
        <w:color w:val="365f91"/>
      </w:rPr>
    </w:lvl>
    <w:lvl w:ilvl="8">
      <w:start w:val="1"/>
      <w:numFmt w:val="decimal"/>
      <w:suff w:val="tab"/>
      <w:lvlText w:val="%1.%2.%3.%4.%5.%6.%7.%8.%9."/>
      <w:lvlJc w:val="left"/>
      <w:pPr>
        <w:ind w:hanging="1440" w:left="4320"/>
      </w:pPr>
      <w:rPr>
        <w:rFonts w:hint="default"/>
        <w:color w:val="365f91"/>
      </w:rPr>
    </w:lvl>
  </w:abstractNum>
  <w:abstractNum w:abstractNumId="24">
    <w:nsid w:val="00000019"/>
    <w:multiLevelType w:val="hybridMultilevel"/>
    <w:tmpl w:val="A84E664C"/>
    <w:lvl w:ilvl="0">
      <w:start w:val="1"/>
      <w:numFmt w:val="lowerRoman"/>
      <w:suff w:val="tab"/>
      <w:lvlText w:val="%1."/>
      <w:lvlJc w:val="left"/>
      <w:pPr>
        <w:ind w:hanging="288" w:left="378"/>
      </w:pPr>
      <w:rPr>
        <w:rFonts w:hint="default"/>
      </w:rPr>
    </w:lvl>
    <w:lvl w:ilvl="1" w:tentative="1">
      <w:start w:val="1"/>
      <w:numFmt w:val="lowerLetter"/>
      <w:suff w:val="tab"/>
      <w:lvlText w:val="%2."/>
      <w:lvlJc w:val="left"/>
      <w:pPr>
        <w:ind w:hanging="360" w:left="1800"/>
      </w:pPr>
    </w:lvl>
    <w:lvl w:ilvl="2" w:tentative="1">
      <w:start w:val="1"/>
      <w:numFmt w:val="lowerRoman"/>
      <w:suff w:val="tab"/>
      <w:lvlText w:val="%3."/>
      <w:lvlJc w:val="right"/>
      <w:pPr>
        <w:ind w:hanging="180" w:left="2520"/>
      </w:pPr>
    </w:lvl>
    <w:lvl w:ilvl="3" w:tentative="1">
      <w:start w:val="1"/>
      <w:numFmt w:val="decimal"/>
      <w:suff w:val="tab"/>
      <w:lvlText w:val="%4."/>
      <w:lvlJc w:val="left"/>
      <w:pPr>
        <w:ind w:hanging="360" w:left="3240"/>
      </w:pPr>
    </w:lvl>
    <w:lvl w:ilvl="4" w:tentative="1">
      <w:start w:val="1"/>
      <w:numFmt w:val="lowerLetter"/>
      <w:suff w:val="tab"/>
      <w:lvlText w:val="%5."/>
      <w:lvlJc w:val="left"/>
      <w:pPr>
        <w:ind w:hanging="360" w:left="3960"/>
      </w:pPr>
    </w:lvl>
    <w:lvl w:ilvl="5" w:tentative="1">
      <w:start w:val="1"/>
      <w:numFmt w:val="lowerRoman"/>
      <w:suff w:val="tab"/>
      <w:lvlText w:val="%6."/>
      <w:lvlJc w:val="right"/>
      <w:pPr>
        <w:ind w:hanging="180" w:left="4680"/>
      </w:pPr>
    </w:lvl>
    <w:lvl w:ilvl="6" w:tentative="1">
      <w:start w:val="1"/>
      <w:numFmt w:val="decimal"/>
      <w:suff w:val="tab"/>
      <w:lvlText w:val="%7."/>
      <w:lvlJc w:val="left"/>
      <w:pPr>
        <w:ind w:hanging="360" w:left="5400"/>
      </w:pPr>
    </w:lvl>
    <w:lvl w:ilvl="7" w:tentative="1">
      <w:start w:val="1"/>
      <w:numFmt w:val="lowerLetter"/>
      <w:suff w:val="tab"/>
      <w:lvlText w:val="%8."/>
      <w:lvlJc w:val="left"/>
      <w:pPr>
        <w:ind w:hanging="360" w:left="6120"/>
      </w:pPr>
    </w:lvl>
    <w:lvl w:ilvl="8" w:tentative="1">
      <w:start w:val="1"/>
      <w:numFmt w:val="lowerRoman"/>
      <w:suff w:val="tab"/>
      <w:lvlText w:val="%9."/>
      <w:lvlJc w:val="right"/>
      <w:pPr>
        <w:ind w:hanging="180" w:left="6840"/>
      </w:pPr>
    </w:lvl>
  </w:abstractNum>
  <w:abstractNum w:abstractNumId="25">
    <w:nsid w:val="00000018"/>
    <w:multiLevelType w:val="hybridMultilevel"/>
    <w:tmpl w:val="3E22F4F2"/>
    <w:lvl w:ilvl="0">
      <w:start w:val="1"/>
      <w:numFmt w:val="lowerLetter"/>
      <w:suff w:val="tab"/>
      <w:lvlText w:val="%1."/>
      <w:lvlJc w:val="left"/>
      <w:pPr>
        <w:ind w:hanging="360" w:left="360"/>
      </w:pPr>
      <w:rPr>
        <w:rFonts w:hint="default"/>
        <w:sz w:val="24"/>
      </w:rPr>
    </w:lvl>
    <w:lvl w:ilvl="1" w:tentative="1">
      <w:start w:val="1"/>
      <w:numFmt w:val="lowerLetter"/>
      <w:suff w:val="tab"/>
      <w:lvlText w:val="%2."/>
      <w:lvlJc w:val="left"/>
      <w:pPr>
        <w:ind w:hanging="360" w:left="1080"/>
      </w:pPr>
    </w:lvl>
    <w:lvl w:ilvl="2" w:tentative="1">
      <w:start w:val="1"/>
      <w:numFmt w:val="lowerRoman"/>
      <w:suff w:val="tab"/>
      <w:lvlText w:val="%3."/>
      <w:lvlJc w:val="right"/>
      <w:pPr>
        <w:ind w:hanging="180" w:left="1800"/>
      </w:pPr>
    </w:lvl>
    <w:lvl w:ilvl="3" w:tentative="1">
      <w:start w:val="1"/>
      <w:numFmt w:val="decimal"/>
      <w:suff w:val="tab"/>
      <w:lvlText w:val="%4."/>
      <w:lvlJc w:val="left"/>
      <w:pPr>
        <w:ind w:hanging="360" w:left="2520"/>
      </w:pPr>
    </w:lvl>
    <w:lvl w:ilvl="4" w:tentative="1">
      <w:start w:val="1"/>
      <w:numFmt w:val="lowerLetter"/>
      <w:suff w:val="tab"/>
      <w:lvlText w:val="%5."/>
      <w:lvlJc w:val="left"/>
      <w:pPr>
        <w:ind w:hanging="360" w:left="3240"/>
      </w:pPr>
    </w:lvl>
    <w:lvl w:ilvl="5" w:tentative="1">
      <w:start w:val="1"/>
      <w:numFmt w:val="lowerRoman"/>
      <w:suff w:val="tab"/>
      <w:lvlText w:val="%6."/>
      <w:lvlJc w:val="right"/>
      <w:pPr>
        <w:ind w:hanging="180" w:left="3960"/>
      </w:pPr>
    </w:lvl>
    <w:lvl w:ilvl="6" w:tentative="1">
      <w:start w:val="1"/>
      <w:numFmt w:val="decimal"/>
      <w:suff w:val="tab"/>
      <w:lvlText w:val="%7."/>
      <w:lvlJc w:val="left"/>
      <w:pPr>
        <w:ind w:hanging="360" w:left="4680"/>
      </w:pPr>
    </w:lvl>
    <w:lvl w:ilvl="7" w:tentative="1">
      <w:start w:val="1"/>
      <w:numFmt w:val="lowerLetter"/>
      <w:suff w:val="tab"/>
      <w:lvlText w:val="%8."/>
      <w:lvlJc w:val="left"/>
      <w:pPr>
        <w:ind w:hanging="360" w:left="5400"/>
      </w:pPr>
    </w:lvl>
    <w:lvl w:ilvl="8" w:tentative="1">
      <w:start w:val="1"/>
      <w:numFmt w:val="lowerRoman"/>
      <w:suff w:val="tab"/>
      <w:lvlText w:val="%9."/>
      <w:lvlJc w:val="right"/>
      <w:pPr>
        <w:ind w:hanging="180" w:left="6120"/>
      </w:pPr>
    </w:lvl>
  </w:abstractNum>
  <w:abstractNum w:abstractNumId="26">
    <w:nsid w:val="0000001B"/>
    <w:multiLevelType w:val="hybridMultilevel"/>
    <w:tmpl w:val="41FA7E12"/>
    <w:lvl w:ilvl="0">
      <w:start w:val="2"/>
      <w:numFmt w:val="lowerLetter"/>
      <w:suff w:val="tab"/>
      <w:lvlText w:val="%1."/>
      <w:lvlJc w:val="left"/>
      <w:pPr>
        <w:ind w:hanging="360" w:left="1800"/>
      </w:pPr>
      <w:rPr>
        <w:rFonts w:hint="default"/>
      </w:rPr>
    </w:lvl>
    <w:lvl w:ilvl="1" w:tentative="1">
      <w:start w:val="1"/>
      <w:numFmt w:val="lowerLetter"/>
      <w:suff w:val="tab"/>
      <w:lvlText w:val="%2."/>
      <w:lvlJc w:val="left"/>
      <w:pPr>
        <w:ind w:hanging="360" w:left="2520"/>
      </w:pPr>
    </w:lvl>
    <w:lvl w:ilvl="2" w:tentative="1">
      <w:start w:val="1"/>
      <w:numFmt w:val="lowerRoman"/>
      <w:suff w:val="tab"/>
      <w:lvlText w:val="%3."/>
      <w:lvlJc w:val="right"/>
      <w:pPr>
        <w:ind w:hanging="180" w:left="3240"/>
      </w:pPr>
    </w:lvl>
    <w:lvl w:ilvl="3" w:tentative="1">
      <w:start w:val="1"/>
      <w:numFmt w:val="decimal"/>
      <w:suff w:val="tab"/>
      <w:lvlText w:val="%4."/>
      <w:lvlJc w:val="left"/>
      <w:pPr>
        <w:ind w:hanging="360" w:left="3960"/>
      </w:pPr>
    </w:lvl>
    <w:lvl w:ilvl="4" w:tentative="1">
      <w:start w:val="1"/>
      <w:numFmt w:val="lowerLetter"/>
      <w:suff w:val="tab"/>
      <w:lvlText w:val="%5."/>
      <w:lvlJc w:val="left"/>
      <w:pPr>
        <w:ind w:hanging="360" w:left="4680"/>
      </w:pPr>
    </w:lvl>
    <w:lvl w:ilvl="5" w:tentative="1">
      <w:start w:val="1"/>
      <w:numFmt w:val="lowerRoman"/>
      <w:suff w:val="tab"/>
      <w:lvlText w:val="%6."/>
      <w:lvlJc w:val="right"/>
      <w:pPr>
        <w:ind w:hanging="180" w:left="5400"/>
      </w:pPr>
    </w:lvl>
    <w:lvl w:ilvl="6" w:tentative="1">
      <w:start w:val="1"/>
      <w:numFmt w:val="decimal"/>
      <w:suff w:val="tab"/>
      <w:lvlText w:val="%7."/>
      <w:lvlJc w:val="left"/>
      <w:pPr>
        <w:ind w:hanging="360" w:left="6120"/>
      </w:pPr>
    </w:lvl>
    <w:lvl w:ilvl="7" w:tentative="1">
      <w:start w:val="1"/>
      <w:numFmt w:val="lowerLetter"/>
      <w:suff w:val="tab"/>
      <w:lvlText w:val="%8."/>
      <w:lvlJc w:val="left"/>
      <w:pPr>
        <w:ind w:hanging="360" w:left="6840"/>
      </w:pPr>
    </w:lvl>
    <w:lvl w:ilvl="8" w:tentative="1">
      <w:start w:val="1"/>
      <w:numFmt w:val="lowerRoman"/>
      <w:suff w:val="tab"/>
      <w:lvlText w:val="%9."/>
      <w:lvlJc w:val="right"/>
      <w:pPr>
        <w:ind w:hanging="180" w:left="7560"/>
      </w:pPr>
    </w:lvl>
  </w:abstractNum>
  <w:abstractNum w:abstractNumId="27">
    <w:nsid w:val="0000001A"/>
    <w:multiLevelType w:val="multilevel"/>
    <w:tmpl w:val="9ED4D3AA"/>
    <w:lvl w:ilvl="0">
      <w:start w:val="3"/>
      <w:numFmt w:val="decimal"/>
      <w:suff w:val="tab"/>
      <w:lvlText w:val="%1."/>
      <w:lvlJc w:val="left"/>
      <w:pPr>
        <w:ind w:hanging="360" w:left="360"/>
      </w:pPr>
      <w:rPr>
        <w:rFonts w:hint="default"/>
      </w:rPr>
    </w:lvl>
    <w:lvl w:ilvl="1">
      <w:start w:val="1"/>
      <w:numFmt w:val="decimal"/>
      <w:suff w:val="tab"/>
      <w:lvlText w:val="%1.%2."/>
      <w:lvlJc w:val="left"/>
      <w:pPr>
        <w:ind w:hanging="360" w:left="360"/>
      </w:pPr>
      <w:rPr>
        <w:rFonts w:hint="default"/>
        <w:color w:val="auto"/>
      </w:rPr>
    </w:lvl>
    <w:lvl w:ilvl="2">
      <w:start w:val="1"/>
      <w:numFmt w:val="decimal"/>
      <w:suff w:val="tab"/>
      <w:lvlText w:val="%1.%2.%3."/>
      <w:lvlJc w:val="left"/>
      <w:pPr>
        <w:ind w:hanging="720" w:left="2160"/>
      </w:pPr>
      <w:rPr>
        <w:rFonts w:hint="default"/>
      </w:rPr>
    </w:lvl>
    <w:lvl w:ilvl="3">
      <w:start w:val="1"/>
      <w:numFmt w:val="decimal"/>
      <w:suff w:val="tab"/>
      <w:lvlText w:val="%1.%2.%3.%4."/>
      <w:lvlJc w:val="left"/>
      <w:pPr>
        <w:ind w:hanging="720" w:left="2880"/>
      </w:pPr>
      <w:rPr>
        <w:rFonts w:hint="default"/>
      </w:rPr>
    </w:lvl>
    <w:lvl w:ilvl="4">
      <w:start w:val="1"/>
      <w:numFmt w:val="decimal"/>
      <w:suff w:val="tab"/>
      <w:lvlText w:val="%1.%2.%3.%4.%5."/>
      <w:lvlJc w:val="left"/>
      <w:pPr>
        <w:ind w:hanging="1080" w:left="3960"/>
      </w:pPr>
      <w:rPr>
        <w:rFonts w:hint="default"/>
      </w:rPr>
    </w:lvl>
    <w:lvl w:ilvl="5">
      <w:start w:val="1"/>
      <w:numFmt w:val="decimal"/>
      <w:suff w:val="tab"/>
      <w:lvlText w:val="%1.%2.%3.%4.%5.%6."/>
      <w:lvlJc w:val="left"/>
      <w:pPr>
        <w:ind w:hanging="1080" w:left="4680"/>
      </w:pPr>
      <w:rPr>
        <w:rFonts w:hint="default"/>
      </w:rPr>
    </w:lvl>
    <w:lvl w:ilvl="6">
      <w:start w:val="1"/>
      <w:numFmt w:val="decimal"/>
      <w:suff w:val="tab"/>
      <w:lvlText w:val="%1.%2.%3.%4.%5.%6.%7."/>
      <w:lvlJc w:val="left"/>
      <w:pPr>
        <w:ind w:hanging="1440" w:left="5760"/>
      </w:pPr>
      <w:rPr>
        <w:rFonts w:hint="default"/>
      </w:rPr>
    </w:lvl>
    <w:lvl w:ilvl="7">
      <w:start w:val="1"/>
      <w:numFmt w:val="decimal"/>
      <w:suff w:val="tab"/>
      <w:lvlText w:val="%1.%2.%3.%4.%5.%6.%7.%8."/>
      <w:lvlJc w:val="left"/>
      <w:pPr>
        <w:ind w:hanging="1440" w:left="6480"/>
      </w:pPr>
      <w:rPr>
        <w:rFonts w:hint="default"/>
      </w:rPr>
    </w:lvl>
    <w:lvl w:ilvl="8">
      <w:start w:val="1"/>
      <w:numFmt w:val="decimal"/>
      <w:suff w:val="tab"/>
      <w:lvlText w:val="%1.%2.%3.%4.%5.%6.%7.%8.%9."/>
      <w:lvlJc w:val="left"/>
      <w:pPr>
        <w:ind w:hanging="1800" w:left="7560"/>
      </w:pPr>
      <w:rPr>
        <w:rFonts w:hint="default"/>
      </w:rPr>
    </w:lvl>
  </w:abstractNum>
  <w:abstractNum w:abstractNumId="28">
    <w:nsid w:val="0000001D"/>
    <w:multiLevelType w:val="hybridMultilevel"/>
    <w:tmpl w:val="BF64FBBC"/>
    <w:lvl w:ilvl="0">
      <w:start w:val="1"/>
      <w:numFmt w:val="lowerRoman"/>
      <w:suff w:val="tab"/>
      <w:lvlText w:val="%1)"/>
      <w:lvlJc w:val="left"/>
      <w:pPr>
        <w:ind w:hanging="720" w:left="1440"/>
      </w:pPr>
      <w:rPr>
        <w:rFonts w:hint="default"/>
      </w:rPr>
    </w:lvl>
    <w:lvl w:ilvl="1" w:tentative="1">
      <w:start w:val="1"/>
      <w:numFmt w:val="lowerLetter"/>
      <w:suff w:val="tab"/>
      <w:lvlText w:val="%2."/>
      <w:lvlJc w:val="left"/>
      <w:pPr>
        <w:ind w:hanging="360" w:left="1800"/>
      </w:pPr>
    </w:lvl>
    <w:lvl w:ilvl="2" w:tentative="1">
      <w:start w:val="1"/>
      <w:numFmt w:val="lowerRoman"/>
      <w:suff w:val="tab"/>
      <w:lvlText w:val="%3."/>
      <w:lvlJc w:val="right"/>
      <w:pPr>
        <w:ind w:hanging="180" w:left="2520"/>
      </w:pPr>
    </w:lvl>
    <w:lvl w:ilvl="3" w:tentative="1">
      <w:start w:val="1"/>
      <w:numFmt w:val="decimal"/>
      <w:suff w:val="tab"/>
      <w:lvlText w:val="%4."/>
      <w:lvlJc w:val="left"/>
      <w:pPr>
        <w:ind w:hanging="360" w:left="3240"/>
      </w:pPr>
    </w:lvl>
    <w:lvl w:ilvl="4" w:tentative="1">
      <w:start w:val="1"/>
      <w:numFmt w:val="lowerLetter"/>
      <w:suff w:val="tab"/>
      <w:lvlText w:val="%5."/>
      <w:lvlJc w:val="left"/>
      <w:pPr>
        <w:ind w:hanging="360" w:left="3960"/>
      </w:pPr>
    </w:lvl>
    <w:lvl w:ilvl="5" w:tentative="1">
      <w:start w:val="1"/>
      <w:numFmt w:val="lowerRoman"/>
      <w:suff w:val="tab"/>
      <w:lvlText w:val="%6."/>
      <w:lvlJc w:val="right"/>
      <w:pPr>
        <w:ind w:hanging="180" w:left="4680"/>
      </w:pPr>
    </w:lvl>
    <w:lvl w:ilvl="6" w:tentative="1">
      <w:start w:val="1"/>
      <w:numFmt w:val="decimal"/>
      <w:suff w:val="tab"/>
      <w:lvlText w:val="%7."/>
      <w:lvlJc w:val="left"/>
      <w:pPr>
        <w:ind w:hanging="360" w:left="5400"/>
      </w:pPr>
    </w:lvl>
    <w:lvl w:ilvl="7" w:tentative="1">
      <w:start w:val="1"/>
      <w:numFmt w:val="lowerLetter"/>
      <w:suff w:val="tab"/>
      <w:lvlText w:val="%8."/>
      <w:lvlJc w:val="left"/>
      <w:pPr>
        <w:ind w:hanging="360" w:left="6120"/>
      </w:pPr>
    </w:lvl>
    <w:lvl w:ilvl="8" w:tentative="1">
      <w:start w:val="1"/>
      <w:numFmt w:val="lowerRoman"/>
      <w:suff w:val="tab"/>
      <w:lvlText w:val="%9."/>
      <w:lvlJc w:val="right"/>
      <w:pPr>
        <w:ind w:hanging="180" w:left="6840"/>
      </w:pPr>
    </w:lvl>
  </w:abstractNum>
  <w:abstractNum w:abstractNumId="29">
    <w:nsid w:val="0000001C"/>
    <w:multiLevelType w:val="hybridMultilevel"/>
    <w:tmpl w:val="3754EAA6"/>
    <w:lvl w:ilvl="0">
      <w:start w:val="1"/>
      <w:numFmt w:val="lowerLetter"/>
      <w:suff w:val="tab"/>
      <w:lvlText w:val="%1."/>
      <w:lvlJc w:val="left"/>
      <w:pPr>
        <w:ind w:hanging="360" w:left="720"/>
      </w:pPr>
      <w:rPr>
        <w:rFonts w:hint="default"/>
      </w:rPr>
    </w:lvl>
    <w:lvl w:ilvl="1" w:tentative="1">
      <w:start w:val="1"/>
      <w:numFmt w:val="lowerLetter"/>
      <w:suff w:val="tab"/>
      <w:lvlText w:val="%2."/>
      <w:lvlJc w:val="left"/>
      <w:pPr>
        <w:ind w:hanging="360" w:left="1440"/>
      </w:pPr>
    </w:lvl>
    <w:lvl w:ilvl="2" w:tentative="1">
      <w:start w:val="1"/>
      <w:numFmt w:val="lowerRoman"/>
      <w:suff w:val="tab"/>
      <w:lvlText w:val="%3."/>
      <w:lvlJc w:val="right"/>
      <w:pPr>
        <w:ind w:hanging="180" w:left="2160"/>
      </w:pPr>
    </w:lvl>
    <w:lvl w:ilvl="3" w:tentative="1">
      <w:start w:val="1"/>
      <w:numFmt w:val="decimal"/>
      <w:suff w:val="tab"/>
      <w:lvlText w:val="%4."/>
      <w:lvlJc w:val="left"/>
      <w:pPr>
        <w:ind w:hanging="360" w:left="2880"/>
      </w:pPr>
    </w:lvl>
    <w:lvl w:ilvl="4" w:tentative="1">
      <w:start w:val="1"/>
      <w:numFmt w:val="lowerLetter"/>
      <w:suff w:val="tab"/>
      <w:lvlText w:val="%5."/>
      <w:lvlJc w:val="left"/>
      <w:pPr>
        <w:ind w:hanging="360" w:left="3600"/>
      </w:pPr>
    </w:lvl>
    <w:lvl w:ilvl="5" w:tentative="1">
      <w:start w:val="1"/>
      <w:numFmt w:val="lowerRoman"/>
      <w:suff w:val="tab"/>
      <w:lvlText w:val="%6."/>
      <w:lvlJc w:val="right"/>
      <w:pPr>
        <w:ind w:hanging="180" w:left="4320"/>
      </w:pPr>
    </w:lvl>
    <w:lvl w:ilvl="6" w:tentative="1">
      <w:start w:val="1"/>
      <w:numFmt w:val="decimal"/>
      <w:suff w:val="tab"/>
      <w:lvlText w:val="%7."/>
      <w:lvlJc w:val="left"/>
      <w:pPr>
        <w:ind w:hanging="360" w:left="5040"/>
      </w:pPr>
    </w:lvl>
    <w:lvl w:ilvl="7" w:tentative="1">
      <w:start w:val="1"/>
      <w:numFmt w:val="lowerLetter"/>
      <w:suff w:val="tab"/>
      <w:lvlText w:val="%8."/>
      <w:lvlJc w:val="left"/>
      <w:pPr>
        <w:ind w:hanging="360" w:left="5760"/>
      </w:pPr>
    </w:lvl>
    <w:lvl w:ilvl="8" w:tentative="1">
      <w:start w:val="1"/>
      <w:numFmt w:val="lowerRoman"/>
      <w:suff w:val="tab"/>
      <w:lvlText w:val="%9."/>
      <w:lvlJc w:val="right"/>
      <w:pPr>
        <w:ind w:hanging="180" w:left="6480"/>
      </w:pPr>
    </w:lvl>
  </w:abstractNum>
  <w:abstractNum w:abstractNumId="30">
    <w:nsid w:val="0000001F"/>
    <w:multiLevelType w:val="hybridMultilevel"/>
    <w:tmpl w:val="1C927226"/>
    <w:lvl w:ilvl="0">
      <w:start w:val="1"/>
      <w:numFmt w:val="lowerLetter"/>
      <w:suff w:val="tab"/>
      <w:lvlText w:val="%1."/>
      <w:lvlJc w:val="left"/>
      <w:pPr>
        <w:ind w:hanging="360" w:left="1080"/>
      </w:pPr>
      <w:rPr>
        <w:rFonts w:hint="default"/>
      </w:rPr>
    </w:lvl>
    <w:lvl w:ilvl="1" w:tentative="1">
      <w:start w:val="1"/>
      <w:numFmt w:val="lowerLetter"/>
      <w:suff w:val="tab"/>
      <w:lvlText w:val="%2."/>
      <w:lvlJc w:val="left"/>
      <w:pPr>
        <w:ind w:hanging="360" w:left="1800"/>
      </w:pPr>
    </w:lvl>
    <w:lvl w:ilvl="2" w:tentative="1">
      <w:start w:val="1"/>
      <w:numFmt w:val="lowerRoman"/>
      <w:suff w:val="tab"/>
      <w:lvlText w:val="%3."/>
      <w:lvlJc w:val="right"/>
      <w:pPr>
        <w:ind w:hanging="180" w:left="2520"/>
      </w:pPr>
    </w:lvl>
    <w:lvl w:ilvl="3" w:tentative="1">
      <w:start w:val="1"/>
      <w:numFmt w:val="decimal"/>
      <w:suff w:val="tab"/>
      <w:lvlText w:val="%4."/>
      <w:lvlJc w:val="left"/>
      <w:pPr>
        <w:ind w:hanging="360" w:left="3240"/>
      </w:pPr>
    </w:lvl>
    <w:lvl w:ilvl="4" w:tentative="1">
      <w:start w:val="1"/>
      <w:numFmt w:val="lowerLetter"/>
      <w:suff w:val="tab"/>
      <w:lvlText w:val="%5."/>
      <w:lvlJc w:val="left"/>
      <w:pPr>
        <w:ind w:hanging="360" w:left="3960"/>
      </w:pPr>
    </w:lvl>
    <w:lvl w:ilvl="5" w:tentative="1">
      <w:start w:val="1"/>
      <w:numFmt w:val="lowerRoman"/>
      <w:suff w:val="tab"/>
      <w:lvlText w:val="%6."/>
      <w:lvlJc w:val="right"/>
      <w:pPr>
        <w:ind w:hanging="180" w:left="4680"/>
      </w:pPr>
    </w:lvl>
    <w:lvl w:ilvl="6" w:tentative="1">
      <w:start w:val="1"/>
      <w:numFmt w:val="decimal"/>
      <w:suff w:val="tab"/>
      <w:lvlText w:val="%7."/>
      <w:lvlJc w:val="left"/>
      <w:pPr>
        <w:ind w:hanging="360" w:left="5400"/>
      </w:pPr>
    </w:lvl>
    <w:lvl w:ilvl="7" w:tentative="1">
      <w:start w:val="1"/>
      <w:numFmt w:val="lowerLetter"/>
      <w:suff w:val="tab"/>
      <w:lvlText w:val="%8."/>
      <w:lvlJc w:val="left"/>
      <w:pPr>
        <w:ind w:hanging="360" w:left="6120"/>
      </w:pPr>
    </w:lvl>
    <w:lvl w:ilvl="8" w:tentative="1">
      <w:start w:val="1"/>
      <w:numFmt w:val="lowerRoman"/>
      <w:suff w:val="tab"/>
      <w:lvlText w:val="%9."/>
      <w:lvlJc w:val="right"/>
      <w:pPr>
        <w:ind w:hanging="180" w:left="6840"/>
      </w:pPr>
    </w:lvl>
  </w:abstractNum>
  <w:abstractNum w:abstractNumId="31">
    <w:nsid w:val="0000001E"/>
    <w:multiLevelType w:val="hybridMultilevel"/>
    <w:tmpl w:val="0F626EA0"/>
    <w:lvl w:ilvl="0">
      <w:start w:val="2"/>
      <w:numFmt w:val="lowerLetter"/>
      <w:suff w:val="tab"/>
      <w:lvlText w:val="%1."/>
      <w:lvlJc w:val="left"/>
      <w:pPr>
        <w:ind w:hanging="360" w:left="1080"/>
      </w:pPr>
      <w:rPr>
        <w:rFonts w:hint="default"/>
      </w:rPr>
    </w:lvl>
    <w:lvl w:ilvl="1" w:tentative="1">
      <w:start w:val="1"/>
      <w:numFmt w:val="lowerLetter"/>
      <w:suff w:val="tab"/>
      <w:lvlText w:val="%2."/>
      <w:lvlJc w:val="left"/>
      <w:pPr>
        <w:ind w:hanging="360" w:left="1800"/>
      </w:pPr>
    </w:lvl>
    <w:lvl w:ilvl="2" w:tentative="1">
      <w:start w:val="1"/>
      <w:numFmt w:val="lowerRoman"/>
      <w:suff w:val="tab"/>
      <w:lvlText w:val="%3."/>
      <w:lvlJc w:val="right"/>
      <w:pPr>
        <w:ind w:hanging="180" w:left="2520"/>
      </w:pPr>
    </w:lvl>
    <w:lvl w:ilvl="3" w:tentative="1">
      <w:start w:val="1"/>
      <w:numFmt w:val="decimal"/>
      <w:suff w:val="tab"/>
      <w:lvlText w:val="%4."/>
      <w:lvlJc w:val="left"/>
      <w:pPr>
        <w:ind w:hanging="360" w:left="3240"/>
      </w:pPr>
    </w:lvl>
    <w:lvl w:ilvl="4" w:tentative="1">
      <w:start w:val="1"/>
      <w:numFmt w:val="lowerLetter"/>
      <w:suff w:val="tab"/>
      <w:lvlText w:val="%5."/>
      <w:lvlJc w:val="left"/>
      <w:pPr>
        <w:ind w:hanging="360" w:left="3960"/>
      </w:pPr>
    </w:lvl>
    <w:lvl w:ilvl="5" w:tentative="1">
      <w:start w:val="1"/>
      <w:numFmt w:val="lowerRoman"/>
      <w:suff w:val="tab"/>
      <w:lvlText w:val="%6."/>
      <w:lvlJc w:val="right"/>
      <w:pPr>
        <w:ind w:hanging="180" w:left="4680"/>
      </w:pPr>
    </w:lvl>
    <w:lvl w:ilvl="6" w:tentative="1">
      <w:start w:val="1"/>
      <w:numFmt w:val="decimal"/>
      <w:suff w:val="tab"/>
      <w:lvlText w:val="%7."/>
      <w:lvlJc w:val="left"/>
      <w:pPr>
        <w:ind w:hanging="360" w:left="5400"/>
      </w:pPr>
    </w:lvl>
    <w:lvl w:ilvl="7" w:tentative="1">
      <w:start w:val="1"/>
      <w:numFmt w:val="lowerLetter"/>
      <w:suff w:val="tab"/>
      <w:lvlText w:val="%8."/>
      <w:lvlJc w:val="left"/>
      <w:pPr>
        <w:ind w:hanging="360" w:left="6120"/>
      </w:pPr>
    </w:lvl>
    <w:lvl w:ilvl="8" w:tentative="1">
      <w:start w:val="1"/>
      <w:numFmt w:val="lowerRoman"/>
      <w:suff w:val="tab"/>
      <w:lvlText w:val="%9."/>
      <w:lvlJc w:val="right"/>
      <w:pPr>
        <w:ind w:hanging="180" w:left="6840"/>
      </w:pPr>
    </w:lvl>
  </w:abstractNum>
  <w:abstractNum w:abstractNumId="32">
    <w:nsid w:val="00000020"/>
    <w:multiLevelType w:val="hybridMultilevel"/>
    <w:tmpl w:val="10C49A20"/>
    <w:lvl w:ilvl="0">
      <w:start w:val="1"/>
      <w:numFmt w:val="bullet"/>
      <w:suff w:val="tab"/>
      <w:lvlText w:val=""/>
      <w:lvlJc w:val="left"/>
      <w:pPr>
        <w:ind w:hanging="360" w:left="810"/>
      </w:pPr>
      <w:rPr>
        <w:rFonts w:ascii="Wingdings" w:hAnsi="Wingdings" w:hint="default"/>
      </w:rPr>
    </w:lvl>
    <w:lvl w:ilvl="1" w:tentative="1">
      <w:start w:val="1"/>
      <w:numFmt w:val="bullet"/>
      <w:suff w:val="tab"/>
      <w:lvlText w:val="o"/>
      <w:lvlJc w:val="left"/>
      <w:pPr>
        <w:ind w:hanging="360" w:left="1498"/>
      </w:pPr>
      <w:rPr>
        <w:rFonts w:ascii="Courier New" w:cs="Courier New" w:hAnsi="Courier New" w:hint="default"/>
      </w:rPr>
    </w:lvl>
    <w:lvl w:ilvl="2" w:tentative="1">
      <w:start w:val="1"/>
      <w:numFmt w:val="bullet"/>
      <w:suff w:val="tab"/>
      <w:lvlText w:val=""/>
      <w:lvlJc w:val="left"/>
      <w:pPr>
        <w:ind w:hanging="360" w:left="2218"/>
      </w:pPr>
      <w:rPr>
        <w:rFonts w:ascii="Wingdings" w:hAnsi="Wingdings" w:hint="default"/>
      </w:rPr>
    </w:lvl>
    <w:lvl w:ilvl="3" w:tentative="1">
      <w:start w:val="1"/>
      <w:numFmt w:val="bullet"/>
      <w:suff w:val="tab"/>
      <w:lvlText w:val=""/>
      <w:lvlJc w:val="left"/>
      <w:pPr>
        <w:ind w:hanging="360" w:left="2938"/>
      </w:pPr>
      <w:rPr>
        <w:rFonts w:ascii="Symbol" w:hAnsi="Symbol" w:hint="default"/>
      </w:rPr>
    </w:lvl>
    <w:lvl w:ilvl="4" w:tentative="1">
      <w:start w:val="1"/>
      <w:numFmt w:val="bullet"/>
      <w:suff w:val="tab"/>
      <w:lvlText w:val="o"/>
      <w:lvlJc w:val="left"/>
      <w:pPr>
        <w:ind w:hanging="360" w:left="3658"/>
      </w:pPr>
      <w:rPr>
        <w:rFonts w:ascii="Courier New" w:cs="Courier New" w:hAnsi="Courier New" w:hint="default"/>
      </w:rPr>
    </w:lvl>
    <w:lvl w:ilvl="5" w:tentative="1">
      <w:start w:val="1"/>
      <w:numFmt w:val="bullet"/>
      <w:suff w:val="tab"/>
      <w:lvlText w:val=""/>
      <w:lvlJc w:val="left"/>
      <w:pPr>
        <w:ind w:hanging="360" w:left="4378"/>
      </w:pPr>
      <w:rPr>
        <w:rFonts w:ascii="Wingdings" w:hAnsi="Wingdings" w:hint="default"/>
      </w:rPr>
    </w:lvl>
    <w:lvl w:ilvl="6" w:tentative="1">
      <w:start w:val="1"/>
      <w:numFmt w:val="bullet"/>
      <w:suff w:val="tab"/>
      <w:lvlText w:val=""/>
      <w:lvlJc w:val="left"/>
      <w:pPr>
        <w:ind w:hanging="360" w:left="5098"/>
      </w:pPr>
      <w:rPr>
        <w:rFonts w:ascii="Symbol" w:hAnsi="Symbol" w:hint="default"/>
      </w:rPr>
    </w:lvl>
    <w:lvl w:ilvl="7" w:tentative="1">
      <w:start w:val="1"/>
      <w:numFmt w:val="bullet"/>
      <w:suff w:val="tab"/>
      <w:lvlText w:val="o"/>
      <w:lvlJc w:val="left"/>
      <w:pPr>
        <w:ind w:hanging="360" w:left="5818"/>
      </w:pPr>
      <w:rPr>
        <w:rFonts w:ascii="Courier New" w:cs="Courier New" w:hAnsi="Courier New" w:hint="default"/>
      </w:rPr>
    </w:lvl>
    <w:lvl w:ilvl="8" w:tentative="1">
      <w:start w:val="1"/>
      <w:numFmt w:val="bullet"/>
      <w:suff w:val="tab"/>
      <w:lvlText w:val=""/>
      <w:lvlJc w:val="left"/>
      <w:pPr>
        <w:ind w:hanging="360" w:left="6538"/>
      </w:pPr>
      <w:rPr>
        <w:rFonts w:ascii="Wingdings" w:hAnsi="Wingdings" w:hint="default"/>
      </w:rPr>
    </w:lvl>
  </w:abstractNum>
  <w:abstractNum w:abstractNumId="33">
    <w:nsid w:val="00000021"/>
    <w:multiLevelType w:val="multilevel"/>
    <w:tmpl w:val="E29ACEBA"/>
    <w:lvl w:ilvl="0">
      <w:start w:val="1"/>
      <w:numFmt w:val="decimal"/>
      <w:suff w:val="tab"/>
      <w:lvlText w:val="%1."/>
      <w:lvlJc w:val="left"/>
      <w:pPr>
        <w:ind w:hanging="360" w:left="720"/>
      </w:pPr>
      <w:rPr>
        <w:rFonts w:eastAsia="Calibri" w:hint="default"/>
      </w:rPr>
    </w:lvl>
    <w:lvl w:ilvl="1">
      <w:start w:val="2"/>
      <w:numFmt w:val="decimal"/>
      <w:isLgl/>
      <w:suff w:val="tab"/>
      <w:lvlText w:val="%1.%2"/>
      <w:lvlJc w:val="left"/>
      <w:pPr>
        <w:ind w:hanging="420" w:left="780"/>
      </w:pPr>
      <w:rPr>
        <w:rFonts w:hint="default"/>
      </w:rPr>
    </w:lvl>
    <w:lvl w:ilvl="2">
      <w:start w:val="1"/>
      <w:numFmt w:val="decimal"/>
      <w:isLgl/>
      <w:suff w:val="tab"/>
      <w:lvlText w:val="%1.%2.%3"/>
      <w:lvlJc w:val="left"/>
      <w:pPr>
        <w:ind w:hanging="720" w:left="1080"/>
      </w:pPr>
      <w:rPr>
        <w:rFonts w:hint="default"/>
      </w:rPr>
    </w:lvl>
    <w:lvl w:ilvl="3">
      <w:start w:val="1"/>
      <w:numFmt w:val="decimal"/>
      <w:isLgl/>
      <w:suff w:val="tab"/>
      <w:lvlText w:val="%1.%2.%3.%4"/>
      <w:lvlJc w:val="left"/>
      <w:pPr>
        <w:ind w:hanging="720" w:left="1080"/>
      </w:pPr>
      <w:rPr>
        <w:rFonts w:hint="default"/>
      </w:rPr>
    </w:lvl>
    <w:lvl w:ilvl="4">
      <w:start w:val="1"/>
      <w:numFmt w:val="decimal"/>
      <w:isLgl/>
      <w:suff w:val="tab"/>
      <w:lvlText w:val="%1.%2.%3.%4.%5"/>
      <w:lvlJc w:val="left"/>
      <w:pPr>
        <w:ind w:hanging="1080" w:left="1440"/>
      </w:pPr>
      <w:rPr>
        <w:rFonts w:hint="default"/>
      </w:rPr>
    </w:lvl>
    <w:lvl w:ilvl="5">
      <w:start w:val="1"/>
      <w:numFmt w:val="decimal"/>
      <w:isLgl/>
      <w:suff w:val="tab"/>
      <w:lvlText w:val="%1.%2.%3.%4.%5.%6"/>
      <w:lvlJc w:val="left"/>
      <w:pPr>
        <w:ind w:hanging="1080" w:left="1440"/>
      </w:pPr>
      <w:rPr>
        <w:rFonts w:hint="default"/>
      </w:rPr>
    </w:lvl>
    <w:lvl w:ilvl="6">
      <w:start w:val="1"/>
      <w:numFmt w:val="decimal"/>
      <w:isLgl/>
      <w:suff w:val="tab"/>
      <w:lvlText w:val="%1.%2.%3.%4.%5.%6.%7"/>
      <w:lvlJc w:val="left"/>
      <w:pPr>
        <w:ind w:hanging="1440" w:left="1800"/>
      </w:pPr>
      <w:rPr>
        <w:rFonts w:hint="default"/>
      </w:rPr>
    </w:lvl>
    <w:lvl w:ilvl="7">
      <w:start w:val="1"/>
      <w:numFmt w:val="decimal"/>
      <w:isLgl/>
      <w:suff w:val="tab"/>
      <w:lvlText w:val="%1.%2.%3.%4.%5.%6.%7.%8"/>
      <w:lvlJc w:val="left"/>
      <w:pPr>
        <w:ind w:hanging="1440" w:left="1800"/>
      </w:pPr>
      <w:rPr>
        <w:rFonts w:hint="default"/>
      </w:rPr>
    </w:lvl>
    <w:lvl w:ilvl="8">
      <w:start w:val="1"/>
      <w:numFmt w:val="decimal"/>
      <w:isLgl/>
      <w:suff w:val="tab"/>
      <w:lvlText w:val="%1.%2.%3.%4.%5.%6.%7.%8.%9"/>
      <w:lvlJc w:val="left"/>
      <w:pPr>
        <w:ind w:hanging="1440" w:left="1800"/>
      </w:pPr>
      <w:rPr>
        <w:rFonts w:hint="default"/>
      </w:rPr>
    </w:lvl>
  </w:abstractNum>
  <w:num w:numId="1">
    <w:abstractNumId w:val="0"/>
  </w:num>
  <w:num w:numId="2">
    <w:abstractNumId w:val="15"/>
  </w:num>
  <w:num w:numId="3">
    <w:abstractNumId w:val="11"/>
  </w:num>
  <w:num w:numId="4">
    <w:abstractNumId w:val="12"/>
  </w:num>
  <w:num w:numId="5">
    <w:abstractNumId w:val="3"/>
  </w:num>
  <w:num w:numId="6">
    <w:abstractNumId w:val="33"/>
  </w:num>
  <w:num w:numId="7">
    <w:abstractNumId w:val="29"/>
  </w:num>
  <w:num w:numId="8">
    <w:abstractNumId w:val="17"/>
  </w:num>
  <w:num w:numId="9">
    <w:abstractNumId w:val="16"/>
  </w:num>
  <w:num w:numId="10">
    <w:abstractNumId w:val="19"/>
  </w:num>
  <w:num w:numId="11">
    <w:abstractNumId w:val="14"/>
  </w:num>
  <w:num w:numId="12">
    <w:abstractNumId w:val="20"/>
  </w:num>
  <w:num w:numId="13">
    <w:abstractNumId w:val="27"/>
  </w:num>
  <w:num w:numId="14">
    <w:abstractNumId w:val="4"/>
  </w:num>
  <w:num w:numId="15">
    <w:abstractNumId w:val="22"/>
  </w:num>
  <w:num w:numId="16">
    <w:abstractNumId w:val="13"/>
  </w:num>
  <w:num w:numId="17">
    <w:abstractNumId w:val="25"/>
  </w:num>
  <w:num w:numId="18">
    <w:abstractNumId w:val="30"/>
  </w:num>
  <w:num w:numId="19">
    <w:abstractNumId w:val="32"/>
  </w:num>
  <w:num w:numId="20">
    <w:abstractNumId w:val="28"/>
  </w:num>
  <w:num w:numId="21">
    <w:abstractNumId w:val="21"/>
  </w:num>
  <w:num w:numId="22">
    <w:abstractNumId w:val="18"/>
  </w:num>
  <w:num w:numId="23">
    <w:abstractNumId w:val="24"/>
  </w:num>
  <w:num w:numId="24">
    <w:abstractNumId w:val="2"/>
  </w:num>
  <w:num w:numId="25">
    <w:abstractNumId w:val="10"/>
  </w:num>
  <w:num w:numId="26">
    <w:abstractNumId w:val="31"/>
  </w:num>
  <w:num w:numId="27">
    <w:abstractNumId w:val="1"/>
  </w:num>
  <w:num w:numId="28">
    <w:abstractNumId w:val="26"/>
  </w:num>
  <w:num w:numId="29">
    <w:abstractNumId w:val="6"/>
  </w:num>
  <w:num w:numId="30">
    <w:abstractNumId w:val="5"/>
  </w:num>
  <w:num w:numId="31">
    <w:abstractNumId w:val="9"/>
  </w:num>
  <w:num w:numId="32">
    <w:abstractNumId w:val="23"/>
  </w:num>
  <w:num w:numId="33">
    <w:abstractNumId w:val="8"/>
  </w:num>
  <w:num w:numId="34">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savePreviewPicture/>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link w:val="style4095"/>
    <w:qFormat/>
    <w:pPr/>
    <w:rPr>
      <w:rFonts w:eastAsiaTheme="minorEastAsia"/>
    </w:rPr>
  </w:style>
  <w:style w:type="paragraph" w:styleId="style1">
    <w:name w:val="heading 1"/>
    <w:basedOn w:val="style0"/>
    <w:next w:val="style0"/>
    <w:link w:val="style4101"/>
    <w:qFormat/>
    <w:uiPriority w:val="9"/>
    <w:pPr>
      <w:keepNext/>
      <w:keepLines/>
      <w:spacing w:before="480" w:after="0"/>
      <w:outlineLvl w:val="0"/>
    </w:pPr>
    <w:rPr>
      <w:rFonts w:asciiTheme="majorHAnsi" w:eastAsiaTheme="majorEastAsia" w:hAnsiTheme="majorHAnsi" w:cstheme="majorBidi"/>
      <w:b/>
      <w:bCs/>
      <w:color w:val="365f91"/>
      <w:sz w:val="28"/>
      <w:szCs w:val="28"/>
      <w:lang w:val="en-GB"/>
    </w:rPr>
  </w:style>
  <w:style w:type="paragraph" w:styleId="style2">
    <w:name w:val="heading 2"/>
    <w:basedOn w:val="style0"/>
    <w:next w:val="style0"/>
    <w:link w:val="style4102"/>
    <w:qFormat/>
    <w:uiPriority w:val="9"/>
    <w:pPr>
      <w:keepNext/>
      <w:keepLines/>
      <w:spacing w:before="200" w:after="0"/>
      <w:outlineLvl w:val="1"/>
    </w:pPr>
    <w:rPr>
      <w:rFonts w:asciiTheme="majorHAnsi" w:eastAsiaTheme="majorEastAsia" w:hAnsiTheme="majorHAnsi" w:cstheme="majorBidi"/>
      <w:b/>
      <w:bCs/>
      <w:color w:val="4f81bd"/>
      <w:sz w:val="26"/>
      <w:szCs w:val="26"/>
      <w:lang w:val="en-GB"/>
    </w:rPr>
  </w:style>
  <w:style w:type="paragraph" w:styleId="style3">
    <w:name w:val="heading 3"/>
    <w:basedOn w:val="style0"/>
    <w:next w:val="style0"/>
    <w:link w:val="style4103"/>
    <w:qFormat/>
    <w:uiPriority w:val="9"/>
    <w:pPr>
      <w:keepNext/>
      <w:keepLines/>
      <w:spacing w:before="200" w:after="0"/>
      <w:outlineLvl w:val="2"/>
    </w:pPr>
    <w:rPr>
      <w:rFonts w:ascii="Times New Roman" w:hAnsi="Times New Roman" w:eastAsiaTheme="majorEastAsia" w:cstheme="majorBidi"/>
      <w:b/>
      <w:bCs/>
      <w:color w:val="000000"/>
      <w:sz w:val="24"/>
      <w:lang w:val="en-GB"/>
    </w:rPr>
  </w:style>
  <w:style w:type="paragraph" w:styleId="style4">
    <w:name w:val="heading 4"/>
    <w:basedOn w:val="style0"/>
    <w:next w:val="style0"/>
    <w:link w:val="style4104"/>
    <w:qFormat/>
    <w:uiPriority w:val="9"/>
    <w:pPr>
      <w:keepNext/>
      <w:keepLines/>
      <w:spacing w:before="200" w:after="0"/>
      <w:outlineLvl w:val="3"/>
    </w:pPr>
    <w:rPr>
      <w:rFonts w:asciiTheme="majorHAnsi" w:eastAsiaTheme="majorEastAsia" w:hAnsiTheme="majorHAnsi" w:cstheme="majorBidi"/>
      <w:b/>
      <w:bCs/>
      <w:i/>
      <w:iCs/>
      <w:color w:val="4f81bd"/>
      <w:lang w:val="en-GB"/>
    </w:rPr>
  </w:style>
  <w:style w:type="paragraph" w:styleId="style5">
    <w:name w:val="heading 5"/>
    <w:basedOn w:val="style0"/>
    <w:next w:val="style0"/>
    <w:link w:val="style4105"/>
    <w:qFormat/>
    <w:uiPriority w:val="9"/>
    <w:pPr>
      <w:keepNext/>
      <w:keepLines/>
      <w:spacing w:before="200" w:after="0"/>
      <w:outlineLvl w:val="4"/>
    </w:pPr>
    <w:rPr>
      <w:rFonts w:asciiTheme="majorHAnsi" w:eastAsiaTheme="majorEastAsia" w:hAnsiTheme="majorHAnsi" w:cstheme="majorBidi"/>
      <w:color w:val="243f60"/>
    </w:rPr>
  </w:style>
  <w:style w:type="paragraph" w:styleId="style6">
    <w:name w:val="heading 6"/>
    <w:basedOn w:val="style0"/>
    <w:next w:val="style0"/>
    <w:link w:val="style4106"/>
    <w:qFormat/>
    <w:uiPriority w:val="9"/>
    <w:pPr>
      <w:keepNext/>
      <w:keepLines/>
      <w:spacing w:before="200" w:after="0"/>
      <w:outlineLvl w:val="5"/>
    </w:pPr>
    <w:rPr>
      <w:rFonts w:asciiTheme="majorHAnsi" w:eastAsiaTheme="majorEastAsia" w:hAnsiTheme="majorHAnsi" w:cstheme="majorBidi"/>
      <w:i/>
      <w:iCs/>
      <w:color w:val="243f60"/>
    </w:rPr>
  </w:style>
  <w:style w:type="paragraph" w:styleId="style7">
    <w:name w:val="heading 7"/>
    <w:basedOn w:val="style0"/>
    <w:next w:val="style0"/>
    <w:link w:val="style4107"/>
    <w:qFormat/>
    <w:uiPriority w:val="9"/>
    <w:pPr>
      <w:keepNext/>
      <w:keepLines/>
      <w:spacing w:before="200" w:after="0"/>
      <w:outlineLvl w:val="6"/>
    </w:pPr>
    <w:rPr>
      <w:rFonts w:asciiTheme="majorHAnsi" w:eastAsiaTheme="majorEastAsia" w:hAnsiTheme="majorHAnsi" w:cstheme="majorBidi"/>
      <w:i/>
      <w:iCs/>
      <w:color w:val="404040"/>
    </w:rPr>
  </w:style>
  <w:style w:type="character" w:default="1" w:styleId="style65">
    <w:name w:val="Default Paragraph Font"/>
    <w:link w:val="style4095"/>
    <w:uiPriority w:val="1"/>
  </w:style>
  <w:style w:type="table" w:default="1" w:styleId="style105">
    <w:name w:val="Normal Table"/>
    <w:link w:val="style4095"/>
    <w:qFormat/>
    <w:uiPriority w:val="99"/>
    <w:pPr/>
    <w:rPr/>
    <w:tblPr>
      <w:tblW w:w="0" w:type="auto"/>
      <w:jc w:val="left"/>
      <w:tblInd w:w="0" w:type="dxa"/>
      <w:tblCellMar>
        <w:top w:w="0" w:type="dxa"/>
        <w:left w:w="108" w:type="dxa"/>
        <w:bottom w:w="0" w:type="dxa"/>
        <w:right w:w="108" w:type="dxa"/>
      </w:tblCellMar>
    </w:tblPr>
    <w:tcPr>
      <w:tcBorders/>
    </w:tcPr>
  </w:style>
  <w:style w:type="numbering" w:default="1" w:styleId="style107">
    <w:name w:val="No List"/>
    <w:link w:val="style4095"/>
    <w:uiPriority w:val="99"/>
    <w:pPr/>
  </w:style>
  <w:style w:type="paragraph" w:customStyle="1" w:styleId="style4097">
    <w:name w:val="Default"/>
    <w:link w:val="style4095"/>
    <w:pPr>
      <w:autoSpaceDE w:val="false"/>
      <w:autoSpaceDN w:val="false"/>
      <w:adjustRightInd w:val="false"/>
      <w:spacing w:after="0" w:lineRule="auto" w:line="240"/>
    </w:pPr>
    <w:rPr>
      <w:rFonts w:ascii="Perpetua" w:cs="Perpetua" w:hAnsi="Perpetua" w:eastAsiaTheme="minorEastAsia"/>
      <w:color w:val="000000"/>
      <w:sz w:val="24"/>
      <w:szCs w:val="24"/>
    </w:rPr>
  </w:style>
  <w:style w:type="character" w:customStyle="1" w:styleId="style4098">
    <w:name w:val="cit-title"/>
    <w:basedOn w:val="style65"/>
    <w:link w:val="style4095"/>
  </w:style>
  <w:style w:type="paragraph" w:styleId="style157">
    <w:name w:val="No Spacing"/>
    <w:link w:val="style4099"/>
    <w:qFormat/>
    <w:uiPriority w:val="1"/>
    <w:pPr>
      <w:spacing w:after="0" w:lineRule="auto" w:line="240"/>
    </w:pPr>
    <w:rPr>
      <w:rFonts w:eastAsiaTheme="minorEastAsia"/>
    </w:rPr>
  </w:style>
  <w:style w:type="character" w:customStyle="1" w:styleId="style4099">
    <w:name w:val="No Spacing Char"/>
    <w:basedOn w:val="style65"/>
    <w:link w:val="style157"/>
    <w:uiPriority w:val="1"/>
    <w:rPr>
      <w:rFonts w:eastAsiaTheme="minorEastAsia"/>
    </w:rPr>
  </w:style>
  <w:style w:type="paragraph" w:styleId="style153">
    <w:name w:val="Balloon Text"/>
    <w:basedOn w:val="style0"/>
    <w:link w:val="style4100"/>
    <w:uiPriority w:val="99"/>
    <w:pPr>
      <w:spacing w:after="0" w:lineRule="auto" w:line="240"/>
    </w:pPr>
    <w:rPr>
      <w:rFonts w:ascii="Tahoma" w:cs="Tahoma" w:hAnsi="Tahoma"/>
      <w:sz w:val="16"/>
      <w:szCs w:val="16"/>
    </w:rPr>
  </w:style>
  <w:style w:type="character" w:customStyle="1" w:styleId="style4100">
    <w:name w:val="Balloon Text Char"/>
    <w:basedOn w:val="style65"/>
    <w:link w:val="style153"/>
    <w:uiPriority w:val="99"/>
    <w:rPr>
      <w:rFonts w:ascii="Tahoma" w:cs="Tahoma" w:hAnsi="Tahoma" w:eastAsiaTheme="minorEastAsia"/>
      <w:sz w:val="16"/>
      <w:szCs w:val="16"/>
    </w:rPr>
  </w:style>
  <w:style w:type="paragraph" w:styleId="style179">
    <w:name w:val="List Paragraph"/>
    <w:basedOn w:val="style0"/>
    <w:link w:val="style4095"/>
    <w:qFormat/>
    <w:uiPriority w:val="34"/>
    <w:pPr>
      <w:ind w:left="720"/>
      <w:contextualSpacing/>
    </w:pPr>
    <w:rPr/>
  </w:style>
  <w:style w:type="character" w:customStyle="1" w:styleId="style4101">
    <w:name w:val="Heading 1 Char"/>
    <w:basedOn w:val="style65"/>
    <w:link w:val="style1"/>
    <w:uiPriority w:val="9"/>
    <w:rPr>
      <w:rFonts w:asciiTheme="majorHAnsi" w:eastAsiaTheme="majorEastAsia" w:hAnsiTheme="majorHAnsi" w:cstheme="majorBidi"/>
      <w:b/>
      <w:bCs/>
      <w:color w:val="365f91"/>
      <w:sz w:val="28"/>
      <w:szCs w:val="28"/>
      <w:lang w:val="en-GB"/>
    </w:rPr>
  </w:style>
  <w:style w:type="character" w:customStyle="1" w:styleId="style4102">
    <w:name w:val="Heading 2 Char"/>
    <w:basedOn w:val="style65"/>
    <w:link w:val="style2"/>
    <w:uiPriority w:val="9"/>
    <w:rPr>
      <w:rFonts w:asciiTheme="majorHAnsi" w:eastAsiaTheme="majorEastAsia" w:hAnsiTheme="majorHAnsi" w:cstheme="majorBidi"/>
      <w:b/>
      <w:bCs/>
      <w:color w:val="4f81bd"/>
      <w:sz w:val="26"/>
      <w:szCs w:val="26"/>
      <w:lang w:val="en-GB"/>
    </w:rPr>
  </w:style>
  <w:style w:type="character" w:customStyle="1" w:styleId="style4103">
    <w:name w:val="Heading 3 Char"/>
    <w:basedOn w:val="style65"/>
    <w:link w:val="style3"/>
    <w:uiPriority w:val="9"/>
    <w:rPr>
      <w:rFonts w:ascii="Times New Roman" w:hAnsi="Times New Roman" w:eastAsiaTheme="majorEastAsia" w:cstheme="majorBidi"/>
      <w:b/>
      <w:bCs/>
      <w:color w:val="000000"/>
      <w:sz w:val="24"/>
      <w:lang w:val="en-GB"/>
    </w:rPr>
  </w:style>
  <w:style w:type="character" w:customStyle="1" w:styleId="style4104">
    <w:name w:val="Heading 4 Char"/>
    <w:basedOn w:val="style65"/>
    <w:link w:val="style4"/>
    <w:uiPriority w:val="9"/>
    <w:rPr>
      <w:rFonts w:asciiTheme="majorHAnsi" w:eastAsiaTheme="majorEastAsia" w:hAnsiTheme="majorHAnsi" w:cstheme="majorBidi"/>
      <w:b/>
      <w:bCs/>
      <w:i/>
      <w:iCs/>
      <w:color w:val="4f81bd"/>
      <w:lang w:val="en-GB"/>
    </w:rPr>
  </w:style>
  <w:style w:type="character" w:customStyle="1" w:styleId="style4105">
    <w:name w:val="Heading 5 Char"/>
    <w:basedOn w:val="style65"/>
    <w:link w:val="style5"/>
    <w:uiPriority w:val="9"/>
    <w:rPr>
      <w:rFonts w:asciiTheme="majorHAnsi" w:eastAsiaTheme="majorEastAsia" w:hAnsiTheme="majorHAnsi" w:cstheme="majorBidi"/>
      <w:color w:val="243f60"/>
    </w:rPr>
  </w:style>
  <w:style w:type="character" w:customStyle="1" w:styleId="style4106">
    <w:name w:val="Heading 6 Char"/>
    <w:basedOn w:val="style65"/>
    <w:link w:val="style6"/>
    <w:uiPriority w:val="9"/>
    <w:rPr>
      <w:rFonts w:asciiTheme="majorHAnsi" w:eastAsiaTheme="majorEastAsia" w:hAnsiTheme="majorHAnsi" w:cstheme="majorBidi"/>
      <w:i/>
      <w:iCs/>
      <w:color w:val="243f60"/>
    </w:rPr>
  </w:style>
  <w:style w:type="character" w:customStyle="1" w:styleId="style4107">
    <w:name w:val="Heading 7 Char"/>
    <w:basedOn w:val="style65"/>
    <w:link w:val="style7"/>
    <w:uiPriority w:val="9"/>
    <w:rPr>
      <w:rFonts w:asciiTheme="majorHAnsi" w:eastAsiaTheme="majorEastAsia" w:hAnsiTheme="majorHAnsi" w:cstheme="majorBidi"/>
      <w:i/>
      <w:iCs/>
      <w:color w:val="404040"/>
    </w:rPr>
  </w:style>
  <w:style w:type="character" w:styleId="style87">
    <w:name w:val="Strong"/>
    <w:basedOn w:val="style65"/>
    <w:link w:val="style4095"/>
    <w:qFormat/>
    <w:uiPriority w:val="22"/>
    <w:rPr>
      <w:b/>
      <w:bCs/>
    </w:rPr>
  </w:style>
  <w:style w:type="paragraph" w:customStyle="1" w:styleId="style4108">
    <w:name w:val="Pa10"/>
    <w:basedOn w:val="style4097"/>
    <w:next w:val="style4097"/>
    <w:link w:val="style4095"/>
    <w:uiPriority w:val="99"/>
    <w:pPr>
      <w:spacing w:lineRule="atLeast" w:line="191"/>
    </w:pPr>
    <w:rPr>
      <w:rFonts w:ascii="Myriad Pro Light SemiCond" w:hAnsi="Myriad Pro Light SemiCond" w:cstheme="minorBidi"/>
      <w:color w:val="auto"/>
    </w:rPr>
  </w:style>
  <w:style w:type="paragraph" w:styleId="style94">
    <w:name w:val="Normal (Web)"/>
    <w:basedOn w:val="style0"/>
    <w:link w:val="style4095"/>
    <w:uiPriority w:val="99"/>
    <w:pPr>
      <w:spacing w:before="100" w:beforeAutospacing="true" w:after="100" w:afterAutospacing="true" w:lineRule="auto" w:line="240"/>
    </w:pPr>
    <w:rPr>
      <w:rFonts w:ascii="Times New Roman" w:cs="Times New Roman" w:eastAsia="Times New Roman" w:hAnsi="Times New Roman"/>
      <w:sz w:val="24"/>
      <w:szCs w:val="24"/>
      <w:lang w:val="en-GB" w:eastAsia="en-GB"/>
    </w:rPr>
  </w:style>
  <w:style w:type="table" w:styleId="style154">
    <w:name w:val="Table Grid"/>
    <w:basedOn w:val="style105"/>
    <w:link w:val="style4095"/>
    <w:uiPriority w:val="59"/>
    <w:pPr/>
    <w:rPr>
      <w:rFonts w:eastAsiaTheme="minorEastAsia"/>
    </w:rPr>
    <w:tblPr>
      <w:tblW w:w="0" w:type="auto"/>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paragraph" w:styleId="style31">
    <w:name w:val="header"/>
    <w:basedOn w:val="style0"/>
    <w:link w:val="style4109"/>
    <w:uiPriority w:val="99"/>
    <w:pPr>
      <w:tabs>
        <w:tab w:val="center" w:leader="none" w:pos="4513"/>
        <w:tab w:val="right" w:leader="none" w:pos="9026"/>
      </w:tabs>
      <w:spacing w:after="0" w:lineRule="auto" w:line="240"/>
    </w:pPr>
    <w:rPr>
      <w:rFonts w:ascii="Calibri" w:cs="Times New Roman" w:eastAsia="Calibri" w:hAnsi="Calibri"/>
      <w:lang w:val="en-GB"/>
    </w:rPr>
  </w:style>
  <w:style w:type="character" w:customStyle="1" w:styleId="style4109">
    <w:name w:val="Header Char"/>
    <w:basedOn w:val="style65"/>
    <w:link w:val="style31"/>
    <w:uiPriority w:val="99"/>
    <w:rPr>
      <w:rFonts w:ascii="Calibri" w:cs="Times New Roman" w:eastAsia="Calibri" w:hAnsi="Calibri"/>
      <w:lang w:val="en-GB"/>
    </w:rPr>
  </w:style>
  <w:style w:type="character" w:customStyle="1" w:styleId="style4110">
    <w:name w:val="Footer Char"/>
    <w:basedOn w:val="style65"/>
    <w:link w:val="style32"/>
    <w:uiPriority w:val="99"/>
    <w:rPr>
      <w:rFonts w:ascii="Calibri" w:cs="Times New Roman" w:eastAsia="Calibri" w:hAnsi="Calibri"/>
    </w:rPr>
  </w:style>
  <w:style w:type="paragraph" w:styleId="style32">
    <w:name w:val="footer"/>
    <w:basedOn w:val="style0"/>
    <w:link w:val="style4110"/>
    <w:uiPriority w:val="99"/>
    <w:pPr>
      <w:tabs>
        <w:tab w:val="center" w:leader="none" w:pos="4513"/>
        <w:tab w:val="right" w:leader="none" w:pos="9026"/>
      </w:tabs>
      <w:spacing w:after="0" w:lineRule="auto" w:line="240"/>
    </w:pPr>
    <w:rPr>
      <w:rFonts w:ascii="Calibri" w:cs="Times New Roman" w:eastAsia="Calibri" w:hAnsi="Calibri"/>
    </w:rPr>
  </w:style>
  <w:style w:type="character" w:customStyle="1" w:styleId="style4111">
    <w:name w:val="Footer Char1"/>
    <w:basedOn w:val="style65"/>
    <w:link w:val="style4095"/>
    <w:uiPriority w:val="99"/>
    <w:rPr>
      <w:rFonts w:eastAsiaTheme="minorEastAsia"/>
    </w:rPr>
  </w:style>
  <w:style w:type="character" w:customStyle="1" w:styleId="style4112">
    <w:name w:val="mi"/>
    <w:basedOn w:val="style65"/>
    <w:link w:val="style4095"/>
  </w:style>
  <w:style w:type="character" w:customStyle="1" w:styleId="style4113">
    <w:name w:val="mo"/>
    <w:basedOn w:val="style65"/>
    <w:link w:val="style4095"/>
  </w:style>
  <w:style w:type="character" w:customStyle="1" w:styleId="style4114">
    <w:name w:val="mn"/>
    <w:basedOn w:val="style65"/>
    <w:link w:val="style4095"/>
  </w:style>
  <w:style w:type="character" w:customStyle="1" w:styleId="style4115">
    <w:name w:val="mtext"/>
    <w:basedOn w:val="style65"/>
    <w:link w:val="style4095"/>
  </w:style>
  <w:style w:type="character" w:styleId="style85">
    <w:name w:val="Hyperlink"/>
    <w:basedOn w:val="style65"/>
    <w:link w:val="style4095"/>
    <w:uiPriority w:val="99"/>
    <w:rPr>
      <w:color w:val="0000ff"/>
      <w:u w:val="single"/>
    </w:rPr>
  </w:style>
  <w:style w:type="character" w:styleId="style156">
    <w:name w:val="Placeholder Text"/>
    <w:basedOn w:val="style65"/>
    <w:link w:val="style4095"/>
    <w:uiPriority w:val="99"/>
    <w:rPr>
      <w:color w:val="808080"/>
    </w:rPr>
  </w:style>
  <w:style w:type="character" w:customStyle="1" w:styleId="style4116">
    <w:name w:val="Date1"/>
    <w:basedOn w:val="style65"/>
    <w:link w:val="style4095"/>
  </w:style>
  <w:style w:type="character" w:styleId="style88">
    <w:name w:val="Emphasis"/>
    <w:basedOn w:val="style65"/>
    <w:link w:val="style4095"/>
    <w:qFormat/>
    <w:uiPriority w:val="20"/>
    <w:rPr>
      <w:i/>
      <w:iCs/>
    </w:rPr>
  </w:style>
  <w:style w:type="character" w:customStyle="1" w:styleId="style4117">
    <w:name w:val="name"/>
    <w:basedOn w:val="style65"/>
    <w:link w:val="style4095"/>
  </w:style>
  <w:style w:type="paragraph" w:customStyle="1" w:styleId="style4118">
    <w:name w:val="desc"/>
    <w:basedOn w:val="style0"/>
    <w:link w:val="style4095"/>
    <w:pPr>
      <w:spacing w:before="100" w:beforeAutospacing="true" w:after="100" w:afterAutospacing="true" w:lineRule="auto" w:line="240"/>
    </w:pPr>
    <w:rPr>
      <w:rFonts w:ascii="Times New Roman" w:cs="Times New Roman" w:eastAsia="Times New Roman" w:hAnsi="Times New Roman"/>
      <w:sz w:val="24"/>
      <w:szCs w:val="24"/>
      <w:lang w:val="en-GB" w:eastAsia="en-GB"/>
    </w:rPr>
  </w:style>
  <w:style w:type="character" w:customStyle="1" w:styleId="style4119">
    <w:name w:val="st"/>
    <w:basedOn w:val="style65"/>
    <w:link w:val="style4095"/>
  </w:style>
  <w:style w:type="paragraph" w:styleId="style19">
    <w:name w:val="toc 1"/>
    <w:basedOn w:val="style0"/>
    <w:next w:val="style0"/>
    <w:link w:val="style4095"/>
    <w:qFormat/>
    <w:uiPriority w:val="39"/>
    <w:pPr>
      <w:tabs>
        <w:tab w:val="right" w:leader="dot" w:pos="9530"/>
      </w:tabs>
      <w:spacing w:after="0" w:lineRule="auto" w:line="360"/>
      <w:jc w:val="center"/>
    </w:pPr>
    <w:rPr>
      <w:rFonts w:ascii="Times New Roman" w:cs="Times New Roman" w:hAnsi="Times New Roman"/>
      <w:b/>
      <w:bCs/>
      <w:iCs/>
      <w:noProof/>
    </w:rPr>
  </w:style>
  <w:style w:type="paragraph" w:styleId="style20">
    <w:name w:val="toc 2"/>
    <w:basedOn w:val="style0"/>
    <w:next w:val="style0"/>
    <w:link w:val="style4095"/>
    <w:qFormat/>
    <w:uiPriority w:val="39"/>
    <w:pPr>
      <w:tabs>
        <w:tab w:val="right" w:leader="dot" w:pos="9530"/>
      </w:tabs>
      <w:spacing w:after="0"/>
      <w:ind w:left="220"/>
    </w:pPr>
    <w:rPr>
      <w:b/>
      <w:bCs/>
    </w:rPr>
  </w:style>
  <w:style w:type="paragraph" w:styleId="style21">
    <w:name w:val="toc 3"/>
    <w:basedOn w:val="style0"/>
    <w:next w:val="style0"/>
    <w:link w:val="style4095"/>
    <w:qFormat/>
    <w:uiPriority w:val="39"/>
    <w:pPr>
      <w:spacing w:after="0"/>
      <w:ind w:left="440"/>
    </w:pPr>
    <w:rPr>
      <w:sz w:val="20"/>
      <w:szCs w:val="20"/>
    </w:rPr>
  </w:style>
  <w:style w:type="paragraph" w:styleId="style22">
    <w:name w:val="toc 4"/>
    <w:basedOn w:val="style0"/>
    <w:next w:val="style0"/>
    <w:link w:val="style4095"/>
    <w:uiPriority w:val="39"/>
    <w:pPr>
      <w:spacing w:after="240" w:lineRule="auto" w:line="360"/>
      <w:ind w:left="660"/>
      <w:jc w:val="center"/>
      <w:outlineLvl w:val="0"/>
    </w:pPr>
    <w:rPr>
      <w:rFonts w:ascii="Times New Roman" w:cs="Times New Roman" w:hAnsi="Times New Roman"/>
      <w:b/>
      <w:sz w:val="28"/>
      <w:szCs w:val="28"/>
    </w:rPr>
  </w:style>
  <w:style w:type="paragraph" w:styleId="style23">
    <w:name w:val="toc 5"/>
    <w:basedOn w:val="style0"/>
    <w:next w:val="style0"/>
    <w:link w:val="style4095"/>
    <w:uiPriority w:val="39"/>
    <w:pPr>
      <w:spacing w:after="0"/>
      <w:ind w:left="880"/>
    </w:pPr>
    <w:rPr>
      <w:sz w:val="20"/>
      <w:szCs w:val="20"/>
    </w:rPr>
  </w:style>
  <w:style w:type="paragraph" w:styleId="style24">
    <w:name w:val="toc 6"/>
    <w:basedOn w:val="style0"/>
    <w:next w:val="style0"/>
    <w:link w:val="style4095"/>
    <w:uiPriority w:val="39"/>
    <w:pPr>
      <w:spacing w:after="0"/>
      <w:ind w:left="1100"/>
    </w:pPr>
    <w:rPr>
      <w:sz w:val="20"/>
      <w:szCs w:val="20"/>
    </w:rPr>
  </w:style>
  <w:style w:type="paragraph" w:styleId="style25">
    <w:name w:val="toc 7"/>
    <w:basedOn w:val="style0"/>
    <w:next w:val="style0"/>
    <w:link w:val="style4095"/>
    <w:uiPriority w:val="39"/>
    <w:pPr>
      <w:spacing w:after="0"/>
      <w:ind w:left="1320"/>
    </w:pPr>
    <w:rPr>
      <w:sz w:val="20"/>
      <w:szCs w:val="20"/>
    </w:rPr>
  </w:style>
  <w:style w:type="paragraph" w:styleId="style26">
    <w:name w:val="toc 8"/>
    <w:basedOn w:val="style0"/>
    <w:next w:val="style0"/>
    <w:link w:val="style4095"/>
    <w:uiPriority w:val="39"/>
    <w:pPr>
      <w:spacing w:after="0"/>
      <w:ind w:left="1540"/>
    </w:pPr>
    <w:rPr>
      <w:sz w:val="20"/>
      <w:szCs w:val="20"/>
    </w:rPr>
  </w:style>
  <w:style w:type="paragraph" w:styleId="style27">
    <w:name w:val="toc 9"/>
    <w:basedOn w:val="style0"/>
    <w:next w:val="style0"/>
    <w:link w:val="style4095"/>
    <w:uiPriority w:val="39"/>
    <w:pPr>
      <w:spacing w:after="0"/>
      <w:ind w:left="1760"/>
    </w:pPr>
    <w:rPr>
      <w:sz w:val="20"/>
      <w:szCs w:val="20"/>
    </w:rPr>
  </w:style>
  <w:style w:type="paragraph" w:styleId="style35">
    <w:name w:val="table of figures"/>
    <w:basedOn w:val="style0"/>
    <w:next w:val="style0"/>
    <w:link w:val="style4095"/>
    <w:uiPriority w:val="99"/>
    <w:pPr>
      <w:spacing w:after="0"/>
    </w:pPr>
    <w:rPr>
      <w:rFonts w:ascii="Calibri" w:cs="Calibri" w:eastAsia="Calibri" w:hAnsi="Calibri"/>
      <w:color w:val="000000"/>
    </w:rPr>
  </w:style>
  <w:style w:type="paragraph" w:customStyle="1" w:styleId="style4120">
    <w:name w:val="western"/>
    <w:basedOn w:val="style0"/>
    <w:link w:val="style4095"/>
    <w:pPr>
      <w:spacing w:after="0" w:lineRule="auto" w:line="240"/>
    </w:pPr>
    <w:rPr>
      <w:rFonts w:ascii="Times New Roman" w:cs="Times New Roman" w:eastAsia="Times New Roman" w:hAnsi="Times New Roman"/>
      <w:sz w:val="24"/>
      <w:szCs w:val="24"/>
    </w:rPr>
  </w:style>
  <w:style w:type="paragraph" w:styleId="style34">
    <w:name w:val="caption"/>
    <w:basedOn w:val="style0"/>
    <w:next w:val="style0"/>
    <w:link w:val="style4095"/>
    <w:qFormat/>
    <w:uiPriority w:val="35"/>
    <w:pPr>
      <w:spacing w:lineRule="auto" w:line="240"/>
    </w:pPr>
    <w:rPr>
      <w:b/>
      <w:bCs/>
      <w:color w:val="4f81bd"/>
      <w:sz w:val="18"/>
      <w:szCs w:val="18"/>
    </w:rPr>
  </w:style>
  <w:style w:type="paragraph" w:styleId="style266">
    <w:name w:val="TOC Heading"/>
    <w:basedOn w:val="style1"/>
    <w:next w:val="style0"/>
    <w:link w:val="style4095"/>
    <w:qFormat/>
    <w:uiPriority w:val="39"/>
    <w:pPr>
      <w:outlineLvl w:val="9"/>
    </w:pPr>
    <w:rPr>
      <w:lang w:val="en-US"/>
    </w:rPr>
  </w:style>
  <w:style w:type="paragraph" w:styleId="style90">
    <w:name w:val="Plain Text"/>
    <w:basedOn w:val="style0"/>
    <w:link w:val="style4121"/>
    <w:uiPriority w:val="99"/>
    <w:pPr>
      <w:spacing w:after="0" w:lineRule="auto" w:line="240"/>
    </w:pPr>
    <w:rPr>
      <w:rFonts w:ascii="Consolas" w:hAnsi="Consolas" w:eastAsiaTheme="minorHAnsi"/>
      <w:sz w:val="21"/>
      <w:szCs w:val="21"/>
    </w:rPr>
  </w:style>
  <w:style w:type="character" w:customStyle="1" w:styleId="style4121">
    <w:name w:val="Plain Text Char"/>
    <w:basedOn w:val="style65"/>
    <w:link w:val="style90"/>
    <w:uiPriority w:val="99"/>
    <w:rPr>
      <w:rFonts w:ascii="Consolas" w:hAnsi="Consolas"/>
      <w:sz w:val="21"/>
      <w:szCs w:val="21"/>
    </w:rPr>
  </w:style>
  <w:style w:type="character" w:styleId="style39">
    <w:name w:val="annotation reference"/>
    <w:basedOn w:val="style65"/>
    <w:link w:val="style4095"/>
    <w:uiPriority w:val="99"/>
    <w:rPr>
      <w:sz w:val="16"/>
      <w:szCs w:val="16"/>
    </w:rPr>
  </w:style>
  <w:style w:type="paragraph" w:styleId="style30">
    <w:name w:val="annotation text"/>
    <w:basedOn w:val="style0"/>
    <w:link w:val="style4122"/>
    <w:uiPriority w:val="99"/>
    <w:pPr>
      <w:spacing w:lineRule="auto" w:line="240"/>
    </w:pPr>
    <w:rPr>
      <w:sz w:val="20"/>
      <w:szCs w:val="20"/>
    </w:rPr>
  </w:style>
  <w:style w:type="character" w:customStyle="1" w:styleId="style4122">
    <w:name w:val="Comment Text Char"/>
    <w:basedOn w:val="style65"/>
    <w:link w:val="style30"/>
    <w:uiPriority w:val="99"/>
    <w:rPr>
      <w:rFonts w:eastAsiaTheme="minorEastAsia"/>
      <w:sz w:val="20"/>
      <w:szCs w:val="20"/>
    </w:rPr>
  </w:style>
  <w:style w:type="paragraph" w:styleId="style106">
    <w:name w:val="annotation subject"/>
    <w:basedOn w:val="style30"/>
    <w:next w:val="style30"/>
    <w:link w:val="style4123"/>
    <w:uiPriority w:val="99"/>
    <w:pPr/>
    <w:rPr>
      <w:b/>
      <w:bCs/>
    </w:rPr>
  </w:style>
  <w:style w:type="character" w:customStyle="1" w:styleId="style4123">
    <w:name w:val="Comment Subject Char"/>
    <w:basedOn w:val="style4122"/>
    <w:link w:val="style106"/>
    <w:uiPriority w:val="99"/>
    <w:rPr>
      <w:rFonts w:eastAsiaTheme="minorEastAsia"/>
      <w:b/>
      <w:bCs/>
      <w:sz w:val="20"/>
      <w:szCs w:val="20"/>
    </w:rPr>
  </w:style>
  <w:style w:type="character" w:customStyle="1" w:styleId="style4124">
    <w:name w:val="Comment Subject Char1"/>
    <w:basedOn w:val="style4122"/>
    <w:link w:val="style4095"/>
    <w:uiPriority w:val="99"/>
    <w:rPr>
      <w:rFonts w:eastAsiaTheme="minorEastAsia"/>
      <w:b/>
      <w:bCs/>
      <w:sz w:val="20"/>
      <w:szCs w:val="20"/>
    </w:rPr>
  </w:style>
  <w:style w:type="paragraph" w:styleId="style180">
    <w:name w:val="Quote"/>
    <w:basedOn w:val="style0"/>
    <w:next w:val="style0"/>
    <w:link w:val="style6276"/>
    <w:qFormat/>
    <w:uiPriority w:val="29"/>
    <w:pPr/>
    <w:rPr>
      <w:i/>
      <w:iCs/>
      <w:color w:val="000000"/>
    </w:rPr>
  </w:style>
  <w:style w:type="character" w:customStyle="1" w:styleId="style6276">
    <w:name w:val="Quote Char_a4a809b3-aca3-4206-925b-4ffe26f94545"/>
    <w:basedOn w:val="style65"/>
    <w:link w:val="style180"/>
    <w:uiPriority w:val="29"/>
    <w:rPr>
      <w:rFonts w:eastAsiaTheme="minorEastAsia"/>
      <w:i/>
      <w:iCs/>
      <w:color w:val="000000"/>
    </w:rPr>
  </w:style>
  <w:style w:type="table" w:styleId="style210">
    <w:name w:val="Medium List 2 Accent 3"/>
    <w:basedOn w:val="style105"/>
    <w:link w:val="style4095"/>
    <w:uiPriority w:val="66"/>
    <w:pPr/>
    <w:rPr>
      <w:rFonts w:asciiTheme="majorHAnsi" w:eastAsiaTheme="majorEastAsia" w:hAnsiTheme="majorHAnsi" w:cstheme="majorBidi"/>
      <w:color w:val="000000"/>
    </w:rPr>
    <w:tblPr>
      <w:tblStyleRowBandSize w:val="1"/>
      <w:tblStyleColBandSize w:val="1"/>
      <w:tblW w:w="0" w:type="auto"/>
      <w:jc w:val="left"/>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blW w:w="0" w:type="auto"/>
        <w:jc w:val="left"/>
        <w:tblInd w:w="0" w:type="auto"/>
      </w:tblPr>
      <w:tcPr>
        <w:tcBorders>
          <w:top w:val="nil"/>
          <w:left w:val="nil"/>
          <w:bottom w:val="single" w:sz="24" w:space="0" w:color="9bbb59"/>
          <w:right w:val="nil"/>
          <w:insideH w:val="nil"/>
          <w:insideV w:val="nil"/>
        </w:tcBorders>
        <w:shd w:val="clear" w:color="auto" w:fill="ffffff"/>
      </w:tcPr>
    </w:tblStylePr>
    <w:tblStylePr w:type="lastRow">
      <w:pPr/>
      <w:tblPr>
        <w:tblW w:w="0" w:type="auto"/>
        <w:jc w:val="left"/>
        <w:tblInd w:w="0" w:type="auto"/>
      </w:tblPr>
      <w:tcPr>
        <w:tcBorders>
          <w:top w:val="single" w:sz="8" w:space="0" w:color="9bbb59"/>
          <w:left w:val="nil"/>
          <w:bottom w:val="nil"/>
          <w:right w:val="nil"/>
          <w:insideH w:val="nil"/>
          <w:insideV w:val="nil"/>
        </w:tcBorders>
        <w:shd w:val="clear" w:color="auto" w:fill="ffffff"/>
      </w:tcPr>
    </w:tblStylePr>
    <w:tblStylePr w:type="band1Horz">
      <w:pPr/>
      <w:tblPr>
        <w:tblW w:w="0" w:type="auto"/>
        <w:jc w:val="left"/>
        <w:tblInd w:w="0" w:type="auto"/>
      </w:tblPr>
      <w:tcPr>
        <w:tcBorders>
          <w:top w:val="nil"/>
          <w:bottom w:val="nil"/>
          <w:insideH w:val="nil"/>
          <w:insideV w:val="nil"/>
        </w:tcBorders>
        <w:shd w:val="clear" w:color="auto" w:fill="e6eed5"/>
      </w:tcPr>
    </w:tblStylePr>
    <w:tblStylePr w:type="firstCol">
      <w:pPr/>
      <w:tblPr>
        <w:tblW w:w="0" w:type="auto"/>
        <w:jc w:val="left"/>
        <w:tblInd w:w="0" w:type="auto"/>
      </w:tblPr>
      <w:tcPr>
        <w:tcBorders>
          <w:top w:val="nil"/>
          <w:left w:val="nil"/>
          <w:bottom w:val="nil"/>
          <w:right w:val="single" w:sz="8" w:space="0" w:color="9bbb59"/>
          <w:insideH w:val="nil"/>
          <w:insideV w:val="nil"/>
        </w:tcBorders>
        <w:shd w:val="clear" w:color="auto" w:fill="ffffff"/>
      </w:tcPr>
    </w:tblStylePr>
    <w:tblStylePr w:type="lastCol">
      <w:pPr/>
      <w:tblPr>
        <w:tblW w:w="0" w:type="auto"/>
        <w:jc w:val="left"/>
        <w:tblInd w:w="0" w:type="auto"/>
      </w:tblPr>
      <w:tcPr>
        <w:tcBorders>
          <w:top w:val="nil"/>
          <w:left w:val="single" w:sz="8" w:space="0" w:color="9bbb59"/>
          <w:bottom w:val="nil"/>
          <w:right w:val="nil"/>
          <w:insideH w:val="nil"/>
          <w:insideV w:val="nil"/>
        </w:tcBorders>
        <w:shd w:val="clear" w:color="auto" w:fill="ffffff"/>
      </w:tcPr>
    </w:tblStylePr>
    <w:tblStylePr w:type="band1Vert">
      <w:pPr/>
      <w:tblPr>
        <w:tblW w:w="0" w:type="auto"/>
        <w:jc w:val="left"/>
        <w:tblInd w:w="0" w:type="auto"/>
      </w:tblPr>
      <w:tcPr>
        <w:tcBorders>
          <w:left w:val="nil"/>
          <w:right w:val="nil"/>
          <w:insideH w:val="nil"/>
          <w:insideV w:val="nil"/>
        </w:tcBorders>
        <w:shd w:val="clear" w:color="auto" w:fill="e6eed5"/>
      </w:tcPr>
    </w:tblStylePr>
    <w:tblStylePr w:type="nwCell">
      <w:pPr/>
      <w:tblPr>
        <w:tblW w:w="0" w:type="auto"/>
        <w:jc w:val="left"/>
        <w:tblInd w:w="0" w:type="auto"/>
      </w:tblPr>
      <w:tcPr>
        <w:tcBorders/>
        <w:shd w:val="clear" w:color="auto" w:fill="ffffff"/>
      </w:tcPr>
    </w:tblStylePr>
    <w:tblStylePr w:type="swCell">
      <w:pPr/>
      <w:tblPr>
        <w:tblW w:w="0" w:type="auto"/>
        <w:jc w:val="left"/>
        <w:tblInd w:w="0" w:type="auto"/>
      </w:tblPr>
      <w:tcPr>
        <w:tcBorders>
          <w:top w:val="nil"/>
        </w:tcBorders>
      </w:tcPr>
    </w:tblStylePr>
    <w:tcPr>
      <w:tcBorders/>
    </w:tcPr>
  </w:style>
  <w:style w:type="table" w:styleId="style209">
    <w:name w:val="Medium List 1 Accent 3"/>
    <w:basedOn w:val="style105"/>
    <w:link w:val="style4095"/>
    <w:uiPriority w:val="65"/>
    <w:pPr/>
    <w:rPr>
      <w:color w:val="000000"/>
    </w:rPr>
    <w:tblPr>
      <w:tblStyleRowBandSize w:val="1"/>
      <w:tblStyleColBandSize w:val="1"/>
      <w:tblW w:w="0" w:type="auto"/>
      <w:jc w:val="left"/>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Theme="majorHAnsi" w:eastAsiaTheme="majorEastAsia" w:hAnsiTheme="majorHAnsi" w:cstheme="majorBidi"/>
      </w:rPr>
      <w:tblPr>
        <w:tblW w:w="0" w:type="auto"/>
        <w:jc w:val="left"/>
        <w:tblInd w:w="0" w:type="auto"/>
      </w:tblPr>
      <w:tcPr>
        <w:tcBorders>
          <w:top w:val="nil"/>
          <w:bottom w:val="single" w:sz="8" w:space="0" w:color="9bbb59"/>
        </w:tcBorders>
      </w:tcPr>
    </w:tblStylePr>
    <w:tblStylePr w:type="lastRow">
      <w:pPr/>
      <w:rPr>
        <w:b/>
        <w:bCs/>
        <w:color w:val="1f497d"/>
      </w:rPr>
      <w:tblPr>
        <w:tblW w:w="0" w:type="auto"/>
        <w:jc w:val="left"/>
        <w:tblInd w:w="0" w:type="auto"/>
      </w:tblPr>
      <w:tcPr>
        <w:tcBorders>
          <w:top w:val="single" w:sz="8" w:space="0" w:color="9bbb59"/>
          <w:bottom w:val="single" w:sz="8" w:space="0" w:color="9bbb59"/>
        </w:tcBorders>
      </w:tcPr>
    </w:tblStylePr>
    <w:tblStylePr w:type="band1Horz">
      <w:pPr/>
      <w:tblPr>
        <w:tblW w:w="0" w:type="auto"/>
        <w:jc w:val="left"/>
        <w:tblInd w:w="0" w:type="auto"/>
      </w:tblPr>
      <w:tcPr>
        <w:tcBorders/>
        <w:shd w:val="clear" w:color="auto" w:fill="e6eed5"/>
      </w:tcPr>
    </w:tblStylePr>
    <w:tblStylePr w:type="firstCol">
      <w:pPr/>
      <w:rPr>
        <w:b/>
        <w:bCs/>
      </w:rPr>
      <w:tcPr>
        <w:tcBorders/>
      </w:tcPr>
    </w:tblStylePr>
    <w:tblStylePr w:type="lastCol">
      <w:pPr/>
      <w:rPr>
        <w:b/>
        <w:bCs/>
      </w:rPr>
      <w:tblPr>
        <w:tblW w:w="0" w:type="auto"/>
        <w:jc w:val="left"/>
        <w:tblInd w:w="0" w:type="auto"/>
      </w:tblPr>
      <w:tcPr>
        <w:tcBorders>
          <w:top w:val="single" w:sz="8" w:space="0" w:color="9bbb59"/>
          <w:bottom w:val="single" w:sz="8" w:space="0" w:color="9bbb59"/>
        </w:tcBorders>
      </w:tcPr>
    </w:tblStylePr>
    <w:tblStylePr w:type="band1Vert">
      <w:pPr/>
      <w:tblPr>
        <w:tblW w:w="0" w:type="auto"/>
        <w:jc w:val="left"/>
        <w:tblInd w:w="0" w:type="auto"/>
      </w:tblPr>
      <w:tcPr>
        <w:tcBorders/>
        <w:shd w:val="clear" w:color="auto" w:fill="e6eed5"/>
      </w:tcPr>
    </w:tblStylePr>
    <w:tcPr>
      <w:tcBorders/>
    </w:tcPr>
  </w:style>
  <w:style w:type="table" w:styleId="style205">
    <w:name w:val="Light List Accent 3"/>
    <w:basedOn w:val="style105"/>
    <w:link w:val="style4095"/>
    <w:uiPriority w:val="61"/>
    <w:pPr/>
    <w:rPr/>
    <w:tblPr>
      <w:tblStyleRowBandSize w:val="1"/>
      <w:tblStyleColBandSize w:val="1"/>
      <w:tblW w:w="0" w:type="auto"/>
      <w:jc w:val="left"/>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blW w:w="0" w:type="auto"/>
        <w:jc w:val="left"/>
        <w:tblInd w:w="0" w:type="auto"/>
      </w:tblPr>
      <w:tcPr>
        <w:tcBorders/>
        <w:shd w:val="clear" w:color="auto" w:fill="9bbb59"/>
      </w:tcPr>
    </w:tblStylePr>
    <w:tblStylePr w:type="lastRow">
      <w:pPr>
        <w:spacing w:before="0" w:after="0" w:lineRule="auto" w:line="240"/>
      </w:pPr>
      <w:rPr>
        <w:b/>
        <w:bCs/>
      </w:rPr>
      <w:tblPr>
        <w:tblW w:w="0" w:type="auto"/>
        <w:jc w:val="left"/>
        <w:tblInd w:w="0" w:type="auto"/>
      </w:tblPr>
      <w:tcPr>
        <w:tcBorders>
          <w:top w:val="double" w:sz="6" w:space="0" w:color="9bbb59"/>
          <w:left w:val="single" w:sz="8" w:space="0" w:color="9bbb59"/>
          <w:bottom w:val="single" w:sz="8" w:space="0" w:color="9bbb59"/>
          <w:right w:val="single" w:sz="8" w:space="0" w:color="9bbb59"/>
        </w:tcBorders>
      </w:tcPr>
    </w:tblStylePr>
    <w:tblStylePr w:type="band1Horz">
      <w:pPr/>
      <w:tblPr>
        <w:tblW w:w="0" w:type="auto"/>
        <w:jc w:val="left"/>
        <w:tblInd w:w="0" w:type="auto"/>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top w:val="single" w:sz="8" w:space="0" w:color="9bbb59"/>
          <w:left w:val="single" w:sz="8" w:space="0" w:color="9bbb59"/>
          <w:bottom w:val="single" w:sz="8" w:space="0" w:color="9bbb59"/>
          <w:right w:val="single" w:sz="8" w:space="0" w:color="9bbb59"/>
        </w:tcBorders>
      </w:tcPr>
    </w:tblStylePr>
    <w:tcPr>
      <w:tcBorders/>
    </w:tcPr>
  </w:style>
  <w:style w:type="paragraph" w:styleId="style43">
    <w:name w:val="endnote text"/>
    <w:basedOn w:val="style0"/>
    <w:link w:val="style4125"/>
    <w:uiPriority w:val="99"/>
    <w:pPr>
      <w:spacing w:after="0" w:lineRule="auto" w:line="240"/>
    </w:pPr>
    <w:rPr>
      <w:sz w:val="20"/>
      <w:szCs w:val="20"/>
    </w:rPr>
  </w:style>
  <w:style w:type="character" w:customStyle="1" w:styleId="style4125">
    <w:name w:val="Endnote Text Char"/>
    <w:basedOn w:val="style65"/>
    <w:link w:val="style43"/>
    <w:uiPriority w:val="99"/>
    <w:rPr>
      <w:rFonts w:eastAsiaTheme="minorEastAsia"/>
      <w:sz w:val="20"/>
      <w:szCs w:val="20"/>
    </w:rPr>
  </w:style>
  <w:style w:type="character" w:styleId="style42">
    <w:name w:val="endnote reference"/>
    <w:basedOn w:val="style65"/>
    <w:link w:val="style4095"/>
    <w:uiPriority w:val="99"/>
    <w:rPr>
      <w:vertAlign w:val="superscript"/>
    </w:rPr>
  </w:style>
  <w:style w:type="character" w:styleId="style97">
    <w:name w:val="HTML Cite"/>
    <w:basedOn w:val="style65"/>
    <w:link w:val="style4095"/>
    <w:uiPriority w:val="99"/>
    <w:rPr>
      <w:i/>
      <w:iCs/>
    </w:rPr>
  </w:style>
  <w:style w:type="table" w:styleId="style207">
    <w:name w:val="Medium Shading 1 Accent 3"/>
    <w:basedOn w:val="style105"/>
    <w:link w:val="style4095"/>
    <w:uiPriority w:val="63"/>
    <w:pPr/>
    <w:rPr/>
    <w:tblPr>
      <w:tblStyleRowBandSize w:val="1"/>
      <w:tblStyleColBandSize w:val="1"/>
      <w:tblW w:w="0" w:type="auto"/>
      <w:jc w:val="left"/>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blW w:w="0" w:type="auto"/>
        <w:jc w:val="left"/>
        <w:tblInd w:w="0" w:type="auto"/>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blW w:w="0" w:type="auto"/>
        <w:jc w:val="left"/>
        <w:tblInd w:w="0" w:type="auto"/>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blW w:w="0" w:type="auto"/>
        <w:jc w:val="left"/>
        <w:tblInd w:w="0" w:type="auto"/>
      </w:tblPr>
      <w:tcPr>
        <w:tcBorders>
          <w:insideH w:val="nil"/>
          <w:insideV w:val="nil"/>
        </w:tcBorders>
        <w:shd w:val="clear" w:color="auto" w:fill="e6eed5"/>
      </w:tcPr>
    </w:tblStylePr>
    <w:tblStylePr w:type="band2Horz">
      <w:pPr/>
      <w:tblPr>
        <w:tblW w:w="0" w:type="auto"/>
        <w:jc w:val="left"/>
        <w:tblInd w:w="0" w:type="auto"/>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shd w:val="clear" w:color="auto" w:fill="e6eed5"/>
      </w:tcPr>
    </w:tblStylePr>
    <w:tcPr>
      <w:tcBorders/>
    </w:tcPr>
  </w:style>
  <w:style w:type="table" w:styleId="style250">
    <w:name w:val="Medium Shading 2 Accent 6"/>
    <w:basedOn w:val="style105"/>
    <w:link w:val="style4095"/>
    <w:uiPriority w:val="64"/>
    <w:pPr/>
    <w:rPr/>
    <w:tblPr>
      <w:tblStyleRowBandSize w:val="1"/>
      <w:tblStyleColBandSize w:val="1"/>
      <w:tblW w:w="0" w:type="auto"/>
      <w:jc w:val="left"/>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blW w:w="0" w:type="auto"/>
        <w:jc w:val="left"/>
        <w:tblInd w:w="0" w:type="auto"/>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blW w:w="0" w:type="auto"/>
        <w:jc w:val="left"/>
        <w:tblInd w:w="0" w:type="auto"/>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W w:w="0" w:type="auto"/>
        <w:jc w:val="left"/>
        <w:tblInd w:w="0" w:type="auto"/>
      </w:tblPr>
      <w:tcPr>
        <w:tcBorders/>
        <w:shd w:val="clear" w:color="auto" w:fill="d8d8d8"/>
      </w:tcPr>
    </w:tblStylePr>
    <w:tblStylePr w:type="firstCol">
      <w:pPr/>
      <w:rPr>
        <w:b/>
        <w:bCs/>
        <w:color w:val="ffffff"/>
      </w:rPr>
      <w:tblPr>
        <w:tblW w:w="0" w:type="auto"/>
        <w:jc w:val="left"/>
        <w:tblInd w:w="0" w:type="auto"/>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blW w:w="0" w:type="auto"/>
        <w:jc w:val="left"/>
        <w:tblInd w:w="0" w:type="auto"/>
      </w:tblPr>
      <w:tcPr>
        <w:tcBorders>
          <w:left w:val="nil"/>
          <w:right w:val="nil"/>
          <w:insideH w:val="nil"/>
          <w:insideV w:val="nil"/>
        </w:tcBorders>
        <w:shd w:val="clear" w:color="auto" w:fill="f79646"/>
      </w:tcPr>
    </w:tblStylePr>
    <w:tblStylePr w:type="band1Vert">
      <w:pPr/>
      <w:tblPr>
        <w:tblW w:w="0" w:type="auto"/>
        <w:jc w:val="left"/>
        <w:tblInd w:w="0" w:type="auto"/>
      </w:tblPr>
      <w:tcPr>
        <w:tcBorders>
          <w:left w:val="nil"/>
          <w:right w:val="nil"/>
          <w:insideH w:val="nil"/>
          <w:insideV w:val="nil"/>
        </w:tcBorders>
        <w:shd w:val="clear" w:color="auto" w:fill="d8d8d8"/>
      </w:tcPr>
    </w:tblStylePr>
    <w:tblStylePr w:type="neCell">
      <w:pPr/>
      <w:tblPr>
        <w:tblW w:w="0" w:type="auto"/>
        <w:jc w:val="left"/>
        <w:tblInd w:w="0" w:type="auto"/>
      </w:tblPr>
      <w:tcPr>
        <w:tcBorders>
          <w:top w:val="single" w:sz="18" w:space="0" w:color="auto"/>
          <w:left w:val="nil"/>
          <w:bottom w:val="single" w:sz="18" w:space="0" w:color="auto"/>
          <w:right w:val="nil"/>
          <w:insideH w:val="nil"/>
          <w:insideV w:val="nil"/>
        </w:tcBorders>
      </w:tcPr>
    </w:tblStylePr>
    <w:tblStylePr w:type="nwCell">
      <w:pPr/>
      <w:rPr>
        <w:color w:val="ffffff"/>
      </w:rPr>
      <w:tblPr>
        <w:tblW w:w="0" w:type="auto"/>
        <w:jc w:val="left"/>
        <w:tblInd w:w="0" w:type="auto"/>
      </w:tblPr>
      <w:tcPr>
        <w:tcBorders>
          <w:top w:val="single" w:sz="18" w:space="0" w:color="auto"/>
          <w:left w:val="nil"/>
          <w:bottom w:val="single" w:sz="18" w:space="0" w:color="auto"/>
          <w:right w:val="nil"/>
          <w:insideH w:val="nil"/>
          <w:insideV w:val="nil"/>
        </w:tcBorders>
      </w:tcPr>
    </w:tblStylePr>
    <w:tcPr>
      <w:tcBorders/>
    </w:tcPr>
  </w:style>
  <w:style w:type="table" w:styleId="style213">
    <w:name w:val="Medium Grid 3 Accent 3"/>
    <w:basedOn w:val="style105"/>
    <w:link w:val="style4095"/>
    <w:uiPriority w:val="69"/>
    <w:pPr/>
    <w:rPr/>
    <w:tblPr>
      <w:tblStyleRowBandSize w:val="1"/>
      <w:tblStyleColBandSize w:val="1"/>
      <w:tblW w:w="0" w:type="auto"/>
      <w:jc w:val="left"/>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blW w:w="0" w:type="auto"/>
        <w:jc w:val="left"/>
        <w:tblInd w:w="0" w:type="auto"/>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blW w:w="0" w:type="auto"/>
        <w:jc w:val="left"/>
        <w:tblInd w:w="0" w:type="auto"/>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blW w:w="0" w:type="auto"/>
        <w:jc w:val="left"/>
        <w:tblInd w:w="0" w:type="auto"/>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blW w:w="0" w:type="auto"/>
        <w:jc w:val="left"/>
        <w:tblInd w:w="0" w:type="auto"/>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blW w:w="0" w:type="auto"/>
        <w:jc w:val="left"/>
        <w:tblInd w:w="0" w:type="auto"/>
      </w:tblPr>
      <w:tcPr>
        <w:tcBorders>
          <w:top w:val="nil"/>
          <w:left w:val="single" w:sz="24" w:space="0" w:color="ffffff"/>
          <w:bottom w:val="nil"/>
          <w:right w:val="nil"/>
          <w:insideH w:val="nil"/>
          <w:insideV w:val="nil"/>
        </w:tcBorders>
        <w:shd w:val="clear" w:color="auto" w:fill="9bbb59"/>
      </w:tcPr>
    </w:tblStylePr>
    <w:tblStylePr w:type="band1Vert">
      <w:pPr/>
      <w:tblPr>
        <w:tblW w:w="0" w:type="auto"/>
        <w:jc w:val="left"/>
        <w:tblInd w:w="0" w:type="auto"/>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196">
    <w:name w:val="Medium List 2 Accent 2"/>
    <w:basedOn w:val="style105"/>
    <w:link w:val="style4095"/>
    <w:uiPriority w:val="66"/>
    <w:pPr/>
    <w:rPr>
      <w:rFonts w:asciiTheme="majorHAnsi" w:eastAsiaTheme="majorEastAsia" w:hAnsiTheme="majorHAnsi" w:cstheme="majorBidi"/>
      <w:color w:val="000000"/>
    </w:rPr>
    <w:tblPr>
      <w:tblStyleRowBandSize w:val="1"/>
      <w:tblStyleColBandSize w:val="1"/>
      <w:tblW w:w="0" w:type="auto"/>
      <w:jc w:val="left"/>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blW w:w="0" w:type="auto"/>
        <w:jc w:val="left"/>
        <w:tblInd w:w="0" w:type="auto"/>
      </w:tblPr>
      <w:tcPr>
        <w:tcBorders>
          <w:top w:val="nil"/>
          <w:left w:val="nil"/>
          <w:bottom w:val="single" w:sz="24" w:space="0" w:color="c0504d"/>
          <w:right w:val="nil"/>
          <w:insideH w:val="nil"/>
          <w:insideV w:val="nil"/>
        </w:tcBorders>
        <w:shd w:val="clear" w:color="auto" w:fill="ffffff"/>
      </w:tcPr>
    </w:tblStylePr>
    <w:tblStylePr w:type="lastRow">
      <w:pPr/>
      <w:tblPr>
        <w:tblW w:w="0" w:type="auto"/>
        <w:jc w:val="left"/>
        <w:tblInd w:w="0" w:type="auto"/>
      </w:tblPr>
      <w:tcPr>
        <w:tcBorders>
          <w:top w:val="single" w:sz="8" w:space="0" w:color="c0504d"/>
          <w:left w:val="nil"/>
          <w:bottom w:val="nil"/>
          <w:right w:val="nil"/>
          <w:insideH w:val="nil"/>
          <w:insideV w:val="nil"/>
        </w:tcBorders>
        <w:shd w:val="clear" w:color="auto" w:fill="ffffff"/>
      </w:tcPr>
    </w:tblStylePr>
    <w:tblStylePr w:type="band1Horz">
      <w:pPr/>
      <w:tblPr>
        <w:tblW w:w="0" w:type="auto"/>
        <w:jc w:val="left"/>
        <w:tblInd w:w="0" w:type="auto"/>
      </w:tblPr>
      <w:tcPr>
        <w:tcBorders>
          <w:top w:val="nil"/>
          <w:bottom w:val="nil"/>
          <w:insideH w:val="nil"/>
          <w:insideV w:val="nil"/>
        </w:tcBorders>
        <w:shd w:val="clear" w:color="auto" w:fill="efd3d2"/>
      </w:tcPr>
    </w:tblStylePr>
    <w:tblStylePr w:type="firstCol">
      <w:pPr/>
      <w:tblPr>
        <w:tblW w:w="0" w:type="auto"/>
        <w:jc w:val="left"/>
        <w:tblInd w:w="0" w:type="auto"/>
      </w:tblPr>
      <w:tcPr>
        <w:tcBorders>
          <w:top w:val="nil"/>
          <w:left w:val="nil"/>
          <w:bottom w:val="nil"/>
          <w:right w:val="single" w:sz="8" w:space="0" w:color="c0504d"/>
          <w:insideH w:val="nil"/>
          <w:insideV w:val="nil"/>
        </w:tcBorders>
        <w:shd w:val="clear" w:color="auto" w:fill="ffffff"/>
      </w:tcPr>
    </w:tblStylePr>
    <w:tblStylePr w:type="lastCol">
      <w:pPr/>
      <w:tblPr>
        <w:tblW w:w="0" w:type="auto"/>
        <w:jc w:val="left"/>
        <w:tblInd w:w="0" w:type="auto"/>
      </w:tblPr>
      <w:tcPr>
        <w:tcBorders>
          <w:top w:val="nil"/>
          <w:left w:val="single" w:sz="8" w:space="0" w:color="c0504d"/>
          <w:bottom w:val="nil"/>
          <w:right w:val="nil"/>
          <w:insideH w:val="nil"/>
          <w:insideV w:val="nil"/>
        </w:tcBorders>
        <w:shd w:val="clear" w:color="auto" w:fill="ffffff"/>
      </w:tcPr>
    </w:tblStylePr>
    <w:tblStylePr w:type="band1Vert">
      <w:pPr/>
      <w:tblPr>
        <w:tblW w:w="0" w:type="auto"/>
        <w:jc w:val="left"/>
        <w:tblInd w:w="0" w:type="auto"/>
      </w:tblPr>
      <w:tcPr>
        <w:tcBorders>
          <w:left w:val="nil"/>
          <w:right w:val="nil"/>
          <w:insideH w:val="nil"/>
          <w:insideV w:val="nil"/>
        </w:tcBorders>
        <w:shd w:val="clear" w:color="auto" w:fill="efd3d2"/>
      </w:tcPr>
    </w:tblStylePr>
    <w:tblStylePr w:type="nwCell">
      <w:pPr/>
      <w:tblPr>
        <w:tblW w:w="0" w:type="auto"/>
        <w:jc w:val="left"/>
        <w:tblInd w:w="0" w:type="auto"/>
      </w:tblPr>
      <w:tcPr>
        <w:tcBorders/>
        <w:shd w:val="clear" w:color="auto" w:fill="ffffff"/>
      </w:tcPr>
    </w:tblStylePr>
    <w:tblStylePr w:type="swCell">
      <w:pPr/>
      <w:tblPr>
        <w:tblW w:w="0" w:type="auto"/>
        <w:jc w:val="left"/>
        <w:tblInd w:w="0" w:type="auto"/>
      </w:tblPr>
      <w:tcPr>
        <w:tcBorders>
          <w:top w:val="nil"/>
        </w:tcBorders>
      </w:tcPr>
    </w:tblStylePr>
    <w:tcPr>
      <w:tcBorders/>
    </w:tcPr>
  </w:style>
  <w:style w:type="table" w:styleId="style204">
    <w:name w:val="Light Shading Accent 3"/>
    <w:basedOn w:val="style105"/>
    <w:link w:val="style4095"/>
    <w:uiPriority w:val="60"/>
    <w:pPr/>
    <w:rPr>
      <w:color w:val="76923c"/>
    </w:rPr>
    <w:tblPr>
      <w:tblStyleRowBandSize w:val="1"/>
      <w:tblStyleColBandSize w:val="1"/>
      <w:tblW w:w="0" w:type="auto"/>
      <w:jc w:val="left"/>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blW w:w="0" w:type="auto"/>
        <w:jc w:val="left"/>
        <w:tblInd w:w="0" w:type="auto"/>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blW w:w="0" w:type="auto"/>
        <w:jc w:val="left"/>
        <w:tblInd w:w="0" w:type="auto"/>
      </w:tblPr>
      <w:tcPr>
        <w:tcBorders>
          <w:top w:val="single" w:sz="8" w:space="0" w:color="9bbb59"/>
          <w:left w:val="nil"/>
          <w:bottom w:val="single" w:sz="8" w:space="0" w:color="9bbb59"/>
          <w:right w:val="nil"/>
          <w:insideH w:val="nil"/>
          <w:insideV w:val="nil"/>
        </w:tcBorders>
      </w:tcPr>
    </w:tblStylePr>
    <w:tblStylePr w:type="band1Horz">
      <w:pPr/>
      <w:tblPr>
        <w:tblW w:w="0" w:type="auto"/>
        <w:jc w:val="left"/>
        <w:tblInd w:w="0" w:type="auto"/>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left w:val="nil"/>
          <w:right w:val="nil"/>
          <w:insideH w:val="nil"/>
          <w:insideV w:val="nil"/>
        </w:tcBorders>
        <w:shd w:val="clear" w:color="auto" w:fill="e6eed5"/>
      </w:tcPr>
    </w:tblStylePr>
    <w:tcPr>
      <w:tcBorders/>
    </w:tcPr>
  </w:style>
  <w:style w:type="table" w:customStyle="1" w:styleId="style4126">
    <w:name w:val="Style1"/>
    <w:basedOn w:val="style105"/>
    <w:link w:val="style4095"/>
    <w:qFormat/>
    <w:uiPriority w:val="99"/>
    <w:pPr/>
    <w:rPr/>
    <w:tblPr>
      <w:tblW w:w="0" w:type="auto"/>
      <w:jc w:val="left"/>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left w:w="108" w:type="dxa"/>
        <w:bottom w:w="0" w:type="dxa"/>
        <w:right w:w="108" w:type="dxa"/>
      </w:tblCellMar>
    </w:tblPr>
    <w:tblStylePr w:type="lastRow">
      <w:pPr/>
      <w:tblPr>
        <w:tblW w:w="0" w:type="auto"/>
        <w:jc w:val="left"/>
        <w:tblInd w:w="0" w:type="auto"/>
      </w:tblPr>
      <w:tcPr>
        <w:tcBorders>
          <w:tl2br w:val="nil"/>
          <w:tr2bl w:val="nil"/>
          <w:top w:val="nil"/>
          <w:left w:val="nil"/>
          <w:bottom w:val="nil"/>
          <w:right w:val="nil"/>
          <w:insideH w:val="single" w:sz="12" w:space="0" w:color="auto"/>
          <w:insideV w:val="single" w:sz="12" w:space="0" w:color="auto"/>
        </w:tcBorders>
      </w:tcPr>
    </w:tblStylePr>
    <w:tcPr>
      <w:tcBorders/>
    </w:tcPr>
  </w:style>
  <w:style w:type="table" w:styleId="style182">
    <w:name w:val="Medium List 2 Accent 1"/>
    <w:basedOn w:val="style105"/>
    <w:link w:val="style4095"/>
    <w:uiPriority w:val="66"/>
    <w:pPr/>
    <w:rPr>
      <w:rFonts w:asciiTheme="majorHAnsi" w:eastAsiaTheme="majorEastAsia" w:hAnsiTheme="majorHAnsi" w:cstheme="majorBidi"/>
      <w:color w:val="000000"/>
    </w:rPr>
    <w:tblPr>
      <w:tblStyleRowBandSize w:val="1"/>
      <w:tblStyleColBandSize w:val="1"/>
      <w:tblW w:w="0" w:type="auto"/>
      <w:jc w:val="left"/>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blW w:w="0" w:type="auto"/>
        <w:jc w:val="left"/>
        <w:tblInd w:w="0" w:type="auto"/>
      </w:tblPr>
      <w:tcPr>
        <w:tcBorders>
          <w:top w:val="nil"/>
          <w:left w:val="nil"/>
          <w:bottom w:val="single" w:sz="24" w:space="0" w:color="4f81bd"/>
          <w:right w:val="nil"/>
          <w:insideH w:val="nil"/>
          <w:insideV w:val="nil"/>
        </w:tcBorders>
        <w:shd w:val="clear" w:color="auto" w:fill="ffffff"/>
      </w:tcPr>
    </w:tblStylePr>
    <w:tblStylePr w:type="lastRow">
      <w:pPr/>
      <w:tblPr>
        <w:tblW w:w="0" w:type="auto"/>
        <w:jc w:val="left"/>
        <w:tblInd w:w="0" w:type="auto"/>
      </w:tblPr>
      <w:tcPr>
        <w:tcBorders>
          <w:top w:val="single" w:sz="8" w:space="0" w:color="4f81bd"/>
          <w:left w:val="nil"/>
          <w:bottom w:val="nil"/>
          <w:right w:val="nil"/>
          <w:insideH w:val="nil"/>
          <w:insideV w:val="nil"/>
        </w:tcBorders>
        <w:shd w:val="clear" w:color="auto" w:fill="ffffff"/>
      </w:tcPr>
    </w:tblStylePr>
    <w:tblStylePr w:type="band1Horz">
      <w:pPr/>
      <w:tblPr>
        <w:tblW w:w="0" w:type="auto"/>
        <w:jc w:val="left"/>
        <w:tblInd w:w="0" w:type="auto"/>
      </w:tblPr>
      <w:tcPr>
        <w:tcBorders>
          <w:top w:val="nil"/>
          <w:bottom w:val="nil"/>
          <w:insideH w:val="nil"/>
          <w:insideV w:val="nil"/>
        </w:tcBorders>
        <w:shd w:val="clear" w:color="auto" w:fill="d3dfee"/>
      </w:tcPr>
    </w:tblStylePr>
    <w:tblStylePr w:type="firstCol">
      <w:pPr/>
      <w:tblPr>
        <w:tblW w:w="0" w:type="auto"/>
        <w:jc w:val="left"/>
        <w:tblInd w:w="0" w:type="auto"/>
      </w:tblPr>
      <w:tcPr>
        <w:tcBorders>
          <w:top w:val="nil"/>
          <w:left w:val="nil"/>
          <w:bottom w:val="nil"/>
          <w:right w:val="single" w:sz="8" w:space="0" w:color="4f81bd"/>
          <w:insideH w:val="nil"/>
          <w:insideV w:val="nil"/>
        </w:tcBorders>
        <w:shd w:val="clear" w:color="auto" w:fill="ffffff"/>
      </w:tcPr>
    </w:tblStylePr>
    <w:tblStylePr w:type="lastCol">
      <w:pPr/>
      <w:tblPr>
        <w:tblW w:w="0" w:type="auto"/>
        <w:jc w:val="left"/>
        <w:tblInd w:w="0" w:type="auto"/>
      </w:tblPr>
      <w:tcPr>
        <w:tcBorders>
          <w:top w:val="nil"/>
          <w:left w:val="single" w:sz="8" w:space="0" w:color="4f81bd"/>
          <w:bottom w:val="nil"/>
          <w:right w:val="nil"/>
          <w:insideH w:val="nil"/>
          <w:insideV w:val="nil"/>
        </w:tcBorders>
        <w:shd w:val="clear" w:color="auto" w:fill="ffffff"/>
      </w:tcPr>
    </w:tblStylePr>
    <w:tblStylePr w:type="band1Vert">
      <w:pPr/>
      <w:tblPr>
        <w:tblW w:w="0" w:type="auto"/>
        <w:jc w:val="left"/>
        <w:tblInd w:w="0" w:type="auto"/>
      </w:tblPr>
      <w:tcPr>
        <w:tcBorders>
          <w:left w:val="nil"/>
          <w:right w:val="nil"/>
          <w:insideH w:val="nil"/>
          <w:insideV w:val="nil"/>
        </w:tcBorders>
        <w:shd w:val="clear" w:color="auto" w:fill="d3dfee"/>
      </w:tcPr>
    </w:tblStylePr>
    <w:tblStylePr w:type="nwCell">
      <w:pPr/>
      <w:tblPr>
        <w:tblW w:w="0" w:type="auto"/>
        <w:jc w:val="left"/>
        <w:tblInd w:w="0" w:type="auto"/>
      </w:tblPr>
      <w:tcPr>
        <w:tcBorders/>
        <w:shd w:val="clear" w:color="auto" w:fill="ffffff"/>
      </w:tcPr>
    </w:tblStylePr>
    <w:tblStylePr w:type="swCell">
      <w:pPr/>
      <w:tblPr>
        <w:tblW w:w="0" w:type="auto"/>
        <w:jc w:val="left"/>
        <w:tblInd w:w="0" w:type="auto"/>
      </w:tblPr>
      <w:tcPr>
        <w:tcBorders>
          <w:top w:val="nil"/>
        </w:tcBorders>
      </w:tcPr>
    </w:tblStylePr>
    <w:tcPr>
      <w:tcBorders/>
    </w:tcPr>
  </w:style>
  <w:style w:type="table" w:customStyle="1" w:styleId="style4127">
    <w:name w:val="Medium Shading 2 - Accent 11"/>
    <w:basedOn w:val="style105"/>
    <w:link w:val="style4095"/>
    <w:uiPriority w:val="64"/>
    <w:pPr/>
    <w:rPr/>
    <w:tblPr>
      <w:tblStyleRowBandSize w:val="1"/>
      <w:tblStyleColBandSize w:val="1"/>
      <w:tblW w:w="0" w:type="auto"/>
      <w:jc w:val="left"/>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blW w:w="0" w:type="auto"/>
        <w:jc w:val="left"/>
        <w:tblInd w:w="0" w:type="auto"/>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blW w:w="0" w:type="auto"/>
        <w:jc w:val="left"/>
        <w:tblInd w:w="0" w:type="auto"/>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W w:w="0" w:type="auto"/>
        <w:jc w:val="left"/>
        <w:tblInd w:w="0" w:type="auto"/>
      </w:tblPr>
      <w:tcPr>
        <w:tcBorders/>
        <w:shd w:val="clear" w:color="auto" w:fill="d8d8d8"/>
      </w:tcPr>
    </w:tblStylePr>
    <w:tblStylePr w:type="firstCol">
      <w:pPr/>
      <w:rPr>
        <w:b/>
        <w:bCs/>
        <w:color w:val="ffffff"/>
      </w:rPr>
      <w:tblPr>
        <w:tblW w:w="0" w:type="auto"/>
        <w:jc w:val="left"/>
        <w:tblInd w:w="0" w:type="auto"/>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blW w:w="0" w:type="auto"/>
        <w:jc w:val="left"/>
        <w:tblInd w:w="0" w:type="auto"/>
      </w:tblPr>
      <w:tcPr>
        <w:tcBorders>
          <w:left w:val="nil"/>
          <w:right w:val="nil"/>
          <w:insideH w:val="nil"/>
          <w:insideV w:val="nil"/>
        </w:tcBorders>
        <w:shd w:val="clear" w:color="auto" w:fill="4f81bd"/>
      </w:tcPr>
    </w:tblStylePr>
    <w:tblStylePr w:type="band1Vert">
      <w:pPr/>
      <w:tblPr>
        <w:tblW w:w="0" w:type="auto"/>
        <w:jc w:val="left"/>
        <w:tblInd w:w="0" w:type="auto"/>
      </w:tblPr>
      <w:tcPr>
        <w:tcBorders>
          <w:left w:val="nil"/>
          <w:right w:val="nil"/>
          <w:insideH w:val="nil"/>
          <w:insideV w:val="nil"/>
        </w:tcBorders>
        <w:shd w:val="clear" w:color="auto" w:fill="d8d8d8"/>
      </w:tcPr>
    </w:tblStylePr>
    <w:tblStylePr w:type="neCell">
      <w:pPr/>
      <w:tblPr>
        <w:tblW w:w="0" w:type="auto"/>
        <w:jc w:val="left"/>
        <w:tblInd w:w="0" w:type="auto"/>
      </w:tblPr>
      <w:tcPr>
        <w:tcBorders>
          <w:top w:val="single" w:sz="18" w:space="0" w:color="auto"/>
          <w:left w:val="nil"/>
          <w:bottom w:val="single" w:sz="18" w:space="0" w:color="auto"/>
          <w:right w:val="nil"/>
          <w:insideH w:val="nil"/>
          <w:insideV w:val="nil"/>
        </w:tcBorders>
      </w:tcPr>
    </w:tblStylePr>
    <w:tblStylePr w:type="nwCell">
      <w:pPr/>
      <w:rPr>
        <w:color w:val="ffffff"/>
      </w:rPr>
      <w:tblPr>
        <w:tblW w:w="0" w:type="auto"/>
        <w:jc w:val="left"/>
        <w:tblInd w:w="0" w:type="auto"/>
      </w:tblPr>
      <w:tcPr>
        <w:tcBorders>
          <w:top w:val="single" w:sz="18" w:space="0" w:color="auto"/>
          <w:left w:val="nil"/>
          <w:bottom w:val="single" w:sz="18" w:space="0" w:color="auto"/>
          <w:right w:val="nil"/>
          <w:insideH w:val="nil"/>
          <w:insideV w:val="nil"/>
        </w:tcBorders>
      </w:tcPr>
    </w:tblStylePr>
    <w:tcPr>
      <w:tcBorders/>
    </w:tcPr>
  </w:style>
  <w:style w:type="table" w:customStyle="1" w:styleId="style4128">
    <w:name w:val="Light Shading - Accent 11"/>
    <w:basedOn w:val="style105"/>
    <w:link w:val="style4095"/>
    <w:uiPriority w:val="60"/>
    <w:pPr/>
    <w:rPr>
      <w:color w:val="365f91"/>
    </w:rPr>
    <w:tblPr>
      <w:tblStyleRowBandSize w:val="1"/>
      <w:tblStyleColBandSize w:val="1"/>
      <w:tblW w:w="0" w:type="auto"/>
      <w:jc w:val="left"/>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blW w:w="0" w:type="auto"/>
        <w:jc w:val="left"/>
        <w:tblInd w:w="0" w:type="auto"/>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blW w:w="0" w:type="auto"/>
        <w:jc w:val="left"/>
        <w:tblInd w:w="0" w:type="auto"/>
      </w:tblPr>
      <w:tcPr>
        <w:tcBorders>
          <w:top w:val="single" w:sz="8" w:space="0" w:color="4f81bd"/>
          <w:left w:val="nil"/>
          <w:bottom w:val="single" w:sz="8" w:space="0" w:color="4f81bd"/>
          <w:right w:val="nil"/>
          <w:insideH w:val="nil"/>
          <w:insideV w:val="nil"/>
        </w:tcBorders>
      </w:tcPr>
    </w:tblStylePr>
    <w:tblStylePr w:type="band1Horz">
      <w:pPr/>
      <w:tblPr>
        <w:tblW w:w="0" w:type="auto"/>
        <w:jc w:val="left"/>
        <w:tblInd w:w="0" w:type="auto"/>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left w:val="nil"/>
          <w:right w:val="nil"/>
          <w:insideH w:val="nil"/>
          <w:insideV w:val="nil"/>
        </w:tcBorders>
        <w:shd w:val="clear" w:color="auto" w:fill="d3dfee"/>
      </w:tcPr>
    </w:tblStylePr>
    <w:tcPr>
      <w:tcBorders/>
    </w:tcPr>
  </w:style>
  <w:style w:type="table" w:customStyle="1" w:styleId="style4129">
    <w:name w:val="Medium Shading 11"/>
    <w:basedOn w:val="style105"/>
    <w:link w:val="style4095"/>
    <w:uiPriority w:val="63"/>
    <w:pPr/>
    <w:rPr/>
    <w:tblPr>
      <w:tblStyleRowBandSize w:val="1"/>
      <w:tblStyleColBandSize w:val="1"/>
      <w:tblW w:w="0" w:type="auto"/>
      <w:jc w:val="left"/>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blW w:w="0" w:type="auto"/>
        <w:jc w:val="left"/>
        <w:tblInd w:w="0" w:type="auto"/>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blW w:w="0" w:type="auto"/>
        <w:jc w:val="left"/>
        <w:tblInd w:w="0" w:type="auto"/>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blW w:w="0" w:type="auto"/>
        <w:jc w:val="left"/>
        <w:tblInd w:w="0" w:type="auto"/>
      </w:tblPr>
      <w:tcPr>
        <w:tcBorders>
          <w:insideH w:val="nil"/>
          <w:insideV w:val="nil"/>
        </w:tcBorders>
        <w:shd w:val="clear" w:color="auto" w:fill="c0c0c0"/>
      </w:tcPr>
    </w:tblStylePr>
    <w:tblStylePr w:type="band2Horz">
      <w:pPr/>
      <w:tblPr>
        <w:tblW w:w="0" w:type="auto"/>
        <w:jc w:val="left"/>
        <w:tblInd w:w="0" w:type="auto"/>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shd w:val="clear" w:color="auto" w:fill="c0c0c0"/>
      </w:tcPr>
    </w:tblStylePr>
    <w:tcPr>
      <w:tcBorders/>
    </w:tcPr>
  </w:style>
  <w:style w:type="table" w:customStyle="1" w:styleId="style4130">
    <w:name w:val="Medium List 21"/>
    <w:basedOn w:val="style105"/>
    <w:link w:val="style4095"/>
    <w:uiPriority w:val="66"/>
    <w:pPr/>
    <w:rPr>
      <w:rFonts w:asciiTheme="majorHAnsi" w:eastAsiaTheme="majorEastAsia" w:hAnsiTheme="majorHAnsi" w:cstheme="majorBidi"/>
      <w:color w:val="000000"/>
    </w:rPr>
    <w:tblPr>
      <w:tblStyleRowBandSize w:val="1"/>
      <w:tblStyleColBandSize w:val="1"/>
      <w:tblW w:w="0" w:type="auto"/>
      <w:jc w:val="left"/>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blW w:w="0" w:type="auto"/>
        <w:jc w:val="left"/>
        <w:tblInd w:w="0" w:type="auto"/>
      </w:tblPr>
      <w:tcPr>
        <w:tcBorders>
          <w:top w:val="nil"/>
          <w:left w:val="nil"/>
          <w:bottom w:val="single" w:sz="24" w:space="0" w:color="000000"/>
          <w:right w:val="nil"/>
          <w:insideH w:val="nil"/>
          <w:insideV w:val="nil"/>
        </w:tcBorders>
        <w:shd w:val="clear" w:color="auto" w:fill="ffffff"/>
      </w:tcPr>
    </w:tblStylePr>
    <w:tblStylePr w:type="lastRow">
      <w:pPr/>
      <w:tblPr>
        <w:tblW w:w="0" w:type="auto"/>
        <w:jc w:val="left"/>
        <w:tblInd w:w="0" w:type="auto"/>
      </w:tblPr>
      <w:tcPr>
        <w:tcBorders>
          <w:top w:val="single" w:sz="8" w:space="0" w:color="000000"/>
          <w:left w:val="nil"/>
          <w:bottom w:val="nil"/>
          <w:right w:val="nil"/>
          <w:insideH w:val="nil"/>
          <w:insideV w:val="nil"/>
        </w:tcBorders>
        <w:shd w:val="clear" w:color="auto" w:fill="ffffff"/>
      </w:tcPr>
    </w:tblStylePr>
    <w:tblStylePr w:type="band1Horz">
      <w:pPr/>
      <w:tblPr>
        <w:tblW w:w="0" w:type="auto"/>
        <w:jc w:val="left"/>
        <w:tblInd w:w="0" w:type="auto"/>
      </w:tblPr>
      <w:tcPr>
        <w:tcBorders>
          <w:top w:val="nil"/>
          <w:bottom w:val="nil"/>
          <w:insideH w:val="nil"/>
          <w:insideV w:val="nil"/>
        </w:tcBorders>
        <w:shd w:val="clear" w:color="auto" w:fill="c0c0c0"/>
      </w:tcPr>
    </w:tblStylePr>
    <w:tblStylePr w:type="firstCol">
      <w:pPr/>
      <w:tblPr>
        <w:tblW w:w="0" w:type="auto"/>
        <w:jc w:val="left"/>
        <w:tblInd w:w="0" w:type="auto"/>
      </w:tblPr>
      <w:tcPr>
        <w:tcBorders>
          <w:top w:val="nil"/>
          <w:left w:val="nil"/>
          <w:bottom w:val="nil"/>
          <w:right w:val="single" w:sz="8" w:space="0" w:color="000000"/>
          <w:insideH w:val="nil"/>
          <w:insideV w:val="nil"/>
        </w:tcBorders>
        <w:shd w:val="clear" w:color="auto" w:fill="ffffff"/>
      </w:tcPr>
    </w:tblStylePr>
    <w:tblStylePr w:type="lastCol">
      <w:pPr/>
      <w:tblPr>
        <w:tblW w:w="0" w:type="auto"/>
        <w:jc w:val="left"/>
        <w:tblInd w:w="0" w:type="auto"/>
      </w:tblPr>
      <w:tcPr>
        <w:tcBorders>
          <w:top w:val="nil"/>
          <w:left w:val="single" w:sz="8" w:space="0" w:color="000000"/>
          <w:bottom w:val="nil"/>
          <w:right w:val="nil"/>
          <w:insideH w:val="nil"/>
          <w:insideV w:val="nil"/>
        </w:tcBorders>
        <w:shd w:val="clear" w:color="auto" w:fill="ffffff"/>
      </w:tcPr>
    </w:tblStylePr>
    <w:tblStylePr w:type="band1Vert">
      <w:pPr/>
      <w:tblPr>
        <w:tblW w:w="0" w:type="auto"/>
        <w:jc w:val="left"/>
        <w:tblInd w:w="0" w:type="auto"/>
      </w:tblPr>
      <w:tcPr>
        <w:tcBorders>
          <w:left w:val="nil"/>
          <w:right w:val="nil"/>
          <w:insideH w:val="nil"/>
          <w:insideV w:val="nil"/>
        </w:tcBorders>
        <w:shd w:val="clear" w:color="auto" w:fill="c0c0c0"/>
      </w:tcPr>
    </w:tblStylePr>
    <w:tblStylePr w:type="nwCell">
      <w:pPr/>
      <w:tblPr>
        <w:tblW w:w="0" w:type="auto"/>
        <w:jc w:val="left"/>
        <w:tblInd w:w="0" w:type="auto"/>
      </w:tblPr>
      <w:tcPr>
        <w:tcBorders/>
        <w:shd w:val="clear" w:color="auto" w:fill="ffffff"/>
      </w:tcPr>
    </w:tblStylePr>
    <w:tblStylePr w:type="swCell">
      <w:pPr/>
      <w:tblPr>
        <w:tblW w:w="0" w:type="auto"/>
        <w:jc w:val="left"/>
        <w:tblInd w:w="0" w:type="auto"/>
      </w:tblPr>
      <w:tcPr>
        <w:tcBorders>
          <w:top w:val="nil"/>
        </w:tcBorders>
      </w:tcPr>
    </w:tblStylePr>
    <w:tcPr>
      <w:tcBorders/>
    </w:tcPr>
  </w:style>
  <w:style w:type="table" w:styleId="style190">
    <w:name w:val="Light Shading Accent 2"/>
    <w:basedOn w:val="style105"/>
    <w:link w:val="style4095"/>
    <w:uiPriority w:val="60"/>
    <w:pPr/>
    <w:rPr>
      <w:color w:val="943634"/>
    </w:rPr>
    <w:tblPr>
      <w:tblStyleRowBandSize w:val="1"/>
      <w:tblStyleColBandSize w:val="1"/>
      <w:tblW w:w="0" w:type="auto"/>
      <w:jc w:val="left"/>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blW w:w="0" w:type="auto"/>
        <w:jc w:val="left"/>
        <w:tblInd w:w="0" w:type="auto"/>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blW w:w="0" w:type="auto"/>
        <w:jc w:val="left"/>
        <w:tblInd w:w="0" w:type="auto"/>
      </w:tblPr>
      <w:tcPr>
        <w:tcBorders>
          <w:top w:val="single" w:sz="8" w:space="0" w:color="c0504d"/>
          <w:left w:val="nil"/>
          <w:bottom w:val="single" w:sz="8" w:space="0" w:color="c0504d"/>
          <w:right w:val="nil"/>
          <w:insideH w:val="nil"/>
          <w:insideV w:val="nil"/>
        </w:tcBorders>
      </w:tcPr>
    </w:tblStylePr>
    <w:tblStylePr w:type="band1Horz">
      <w:pPr/>
      <w:tblPr>
        <w:tblW w:w="0" w:type="auto"/>
        <w:jc w:val="left"/>
        <w:tblInd w:w="0" w:type="auto"/>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left w:val="nil"/>
          <w:right w:val="nil"/>
          <w:insideH w:val="nil"/>
          <w:insideV w:val="nil"/>
        </w:tcBorders>
        <w:shd w:val="clear" w:color="auto" w:fill="efd3d2"/>
      </w:tcPr>
    </w:tblStylePr>
    <w:tcPr>
      <w:tcBorders/>
    </w:tcPr>
  </w:style>
  <w:style w:type="table" w:customStyle="1" w:styleId="style4131">
    <w:name w:val="Light Shading1"/>
    <w:basedOn w:val="style105"/>
    <w:link w:val="style4095"/>
    <w:uiPriority w:val="60"/>
    <w:pPr/>
    <w:rPr>
      <w:color w:val="000000"/>
    </w:rPr>
    <w:tblPr>
      <w:tblStyleRowBandSize w:val="1"/>
      <w:tblStyleColBandSize w:val="1"/>
      <w:tblW w:w="0" w:type="auto"/>
      <w:jc w:val="left"/>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blW w:w="0" w:type="auto"/>
        <w:jc w:val="left"/>
        <w:tblInd w:w="0" w:type="auto"/>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blW w:w="0" w:type="auto"/>
        <w:jc w:val="left"/>
        <w:tblInd w:w="0" w:type="auto"/>
      </w:tblPr>
      <w:tcPr>
        <w:tcBorders>
          <w:top w:val="single" w:sz="8" w:space="0" w:color="000000"/>
          <w:left w:val="nil"/>
          <w:bottom w:val="single" w:sz="8" w:space="0" w:color="000000"/>
          <w:right w:val="nil"/>
          <w:insideH w:val="nil"/>
          <w:insideV w:val="nil"/>
        </w:tcBorders>
      </w:tcPr>
    </w:tblStylePr>
    <w:tblStylePr w:type="band1Horz">
      <w:pPr/>
      <w:tblPr>
        <w:tblW w:w="0" w:type="auto"/>
        <w:jc w:val="left"/>
        <w:tblInd w:w="0" w:type="auto"/>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left w:val="nil"/>
          <w:right w:val="nil"/>
          <w:insideH w:val="nil"/>
          <w:insideV w:val="nil"/>
        </w:tcBorders>
        <w:shd w:val="clear" w:color="auto" w:fill="c0c0c0"/>
      </w:tcPr>
    </w:tblStylePr>
    <w:tcPr>
      <w:tcBorders/>
    </w:tcPr>
  </w:style>
  <w:style w:type="table" w:styleId="style194">
    <w:name w:val="Medium Shading 2 Accent 2"/>
    <w:basedOn w:val="style105"/>
    <w:link w:val="style4095"/>
    <w:uiPriority w:val="64"/>
    <w:pPr/>
    <w:rPr/>
    <w:tblPr>
      <w:tblStyleRowBandSize w:val="1"/>
      <w:tblStyleColBandSize w:val="1"/>
      <w:tblW w:w="0" w:type="auto"/>
      <w:jc w:val="left"/>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blW w:w="0" w:type="auto"/>
        <w:jc w:val="left"/>
        <w:tblInd w:w="0" w:type="auto"/>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blW w:w="0" w:type="auto"/>
        <w:jc w:val="left"/>
        <w:tblInd w:w="0" w:type="auto"/>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blW w:w="0" w:type="auto"/>
        <w:jc w:val="left"/>
        <w:tblInd w:w="0" w:type="auto"/>
      </w:tblPr>
      <w:tcPr>
        <w:tcBorders/>
        <w:shd w:val="clear" w:color="auto" w:fill="d8d8d8"/>
      </w:tcPr>
    </w:tblStylePr>
    <w:tblStylePr w:type="firstCol">
      <w:pPr/>
      <w:rPr>
        <w:b/>
        <w:bCs/>
        <w:color w:val="ffffff"/>
      </w:rPr>
      <w:tblPr>
        <w:tblW w:w="0" w:type="auto"/>
        <w:jc w:val="left"/>
        <w:tblInd w:w="0" w:type="auto"/>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blW w:w="0" w:type="auto"/>
        <w:jc w:val="left"/>
        <w:tblInd w:w="0" w:type="auto"/>
      </w:tblPr>
      <w:tcPr>
        <w:tcBorders>
          <w:left w:val="nil"/>
          <w:right w:val="nil"/>
          <w:insideH w:val="nil"/>
          <w:insideV w:val="nil"/>
        </w:tcBorders>
        <w:shd w:val="clear" w:color="auto" w:fill="c0504d"/>
      </w:tcPr>
    </w:tblStylePr>
    <w:tblStylePr w:type="band1Vert">
      <w:pPr/>
      <w:tblPr>
        <w:tblW w:w="0" w:type="auto"/>
        <w:jc w:val="left"/>
        <w:tblInd w:w="0" w:type="auto"/>
      </w:tblPr>
      <w:tcPr>
        <w:tcBorders>
          <w:left w:val="nil"/>
          <w:right w:val="nil"/>
          <w:insideH w:val="nil"/>
          <w:insideV w:val="nil"/>
        </w:tcBorders>
        <w:shd w:val="clear" w:color="auto" w:fill="d8d8d8"/>
      </w:tcPr>
    </w:tblStylePr>
    <w:tblStylePr w:type="neCell">
      <w:pPr/>
      <w:tblPr>
        <w:tblW w:w="0" w:type="auto"/>
        <w:jc w:val="left"/>
        <w:tblInd w:w="0" w:type="auto"/>
      </w:tblPr>
      <w:tcPr>
        <w:tcBorders>
          <w:top w:val="single" w:sz="18" w:space="0" w:color="auto"/>
          <w:left w:val="nil"/>
          <w:bottom w:val="single" w:sz="18" w:space="0" w:color="auto"/>
          <w:right w:val="nil"/>
          <w:insideH w:val="nil"/>
          <w:insideV w:val="nil"/>
        </w:tcBorders>
      </w:tcPr>
    </w:tblStylePr>
    <w:tblStylePr w:type="nwCell">
      <w:pPr/>
      <w:rPr>
        <w:color w:val="ffffff"/>
      </w:rPr>
      <w:tblPr>
        <w:tblW w:w="0" w:type="auto"/>
        <w:jc w:val="left"/>
        <w:tblInd w:w="0" w:type="auto"/>
      </w:tblPr>
      <w:tcPr>
        <w:tcBorders>
          <w:top w:val="single" w:sz="18" w:space="0" w:color="auto"/>
          <w:left w:val="nil"/>
          <w:bottom w:val="single" w:sz="18" w:space="0" w:color="auto"/>
          <w:right w:val="nil"/>
          <w:insideH w:val="nil"/>
          <w:insideV w:val="nil"/>
        </w:tcBorders>
      </w:tcPr>
    </w:tblStylePr>
    <w:tcPr>
      <w:tcBorders/>
    </w:tcPr>
  </w:style>
  <w:style w:type="table" w:styleId="style201">
    <w:name w:val="Colorful Shading Accent 2"/>
    <w:basedOn w:val="style105"/>
    <w:link w:val="style4095"/>
    <w:uiPriority w:val="71"/>
    <w:pPr/>
    <w:rPr>
      <w:color w:val="000000"/>
    </w:rPr>
    <w:tblPr>
      <w:tblStyleRowBandSize w:val="1"/>
      <w:tblStyleColBandSize w:val="1"/>
      <w:tblW w:w="0" w:type="auto"/>
      <w:jc w:val="left"/>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blW w:w="0" w:type="auto"/>
        <w:jc w:val="left"/>
        <w:tblInd w:w="0" w:type="auto"/>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blW w:w="0" w:type="auto"/>
        <w:jc w:val="left"/>
        <w:tblInd w:w="0" w:type="auto"/>
      </w:tblPr>
      <w:tcPr>
        <w:tcBorders>
          <w:top w:val="single" w:sz="6" w:space="0" w:color="ffffff"/>
        </w:tcBorders>
        <w:shd w:val="clear" w:color="auto" w:fill="772c2a"/>
      </w:tcPr>
    </w:tblStylePr>
    <w:tblStylePr w:type="band1Horz">
      <w:pPr/>
      <w:tblPr>
        <w:tblW w:w="0" w:type="auto"/>
        <w:jc w:val="left"/>
        <w:tblInd w:w="0" w:type="auto"/>
      </w:tblPr>
      <w:tcPr>
        <w:tcBorders/>
        <w:shd w:val="clear" w:color="auto" w:fill="dfa7a6"/>
      </w:tcPr>
    </w:tblStylePr>
    <w:tblStylePr w:type="firstCol">
      <w:pPr/>
      <w:rPr>
        <w:color w:val="ffffff"/>
      </w:rPr>
      <w:tblPr>
        <w:tblW w:w="0" w:type="auto"/>
        <w:jc w:val="left"/>
        <w:tblInd w:w="0" w:type="auto"/>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blW w:w="0" w:type="auto"/>
        <w:jc w:val="left"/>
        <w:tblInd w:w="0" w:type="auto"/>
      </w:tblPr>
      <w:tcPr>
        <w:tcBorders>
          <w:top w:val="nil"/>
          <w:left w:val="nil"/>
          <w:bottom w:val="nil"/>
          <w:right w:val="nil"/>
          <w:insideH w:val="nil"/>
          <w:insideV w:val="nil"/>
        </w:tcBorders>
        <w:shd w:val="clear" w:color="auto" w:fill="772c2a"/>
      </w:tcPr>
    </w:tblStylePr>
    <w:tblStylePr w:type="band1Vert">
      <w:pPr/>
      <w:tblPr>
        <w:tblW w:w="0" w:type="auto"/>
        <w:jc w:val="left"/>
        <w:tblInd w:w="0" w:type="auto"/>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customStyle="1" w:styleId="style4132">
    <w:name w:val="Light Grid1"/>
    <w:basedOn w:val="style105"/>
    <w:link w:val="style4095"/>
    <w:uiPriority w:val="62"/>
    <w:pPr/>
    <w:rPr/>
    <w:tblPr>
      <w:tblStyleRowBandSize w:val="1"/>
      <w:tblStyleColBandSize w:val="1"/>
      <w:tblW w:w="0" w:type="auto"/>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Theme="majorHAnsi" w:eastAsiaTheme="majorEastAsia" w:hAnsiTheme="majorHAnsi" w:cstheme="majorBidi"/>
        <w:b/>
        <w:bCs/>
      </w:rPr>
      <w:tblPr>
        <w:tblW w:w="0" w:type="auto"/>
        <w:jc w:val="left"/>
        <w:tblInd w:w="0" w:type="auto"/>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Theme="majorHAnsi" w:eastAsiaTheme="majorEastAsia" w:hAnsiTheme="majorHAnsi" w:cstheme="majorBidi"/>
        <w:b/>
        <w:bCs/>
      </w:rPr>
      <w:tblPr>
        <w:tblW w:w="0" w:type="auto"/>
        <w:jc w:val="left"/>
        <w:tblInd w:w="0" w:type="auto"/>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blW w:w="0" w:type="auto"/>
        <w:jc w:val="left"/>
        <w:tblInd w:w="0" w:type="auto"/>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blW w:w="0" w:type="auto"/>
        <w:jc w:val="left"/>
        <w:tblInd w:w="0" w:type="auto"/>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Theme="majorHAnsi" w:eastAsiaTheme="majorEastAsia" w:hAnsiTheme="majorHAnsi" w:cstheme="majorBidi"/>
        <w:b/>
        <w:bCs/>
      </w:rPr>
      <w:tcPr>
        <w:tcBorders/>
      </w:tcPr>
    </w:tblStylePr>
    <w:tblStylePr w:type="lastCol">
      <w:pPr/>
      <w:rPr>
        <w:rFonts w:asciiTheme="majorHAnsi" w:eastAsiaTheme="majorEastAsia" w:hAnsiTheme="majorHAnsi" w:cstheme="majorBidi"/>
        <w:b/>
        <w:bCs/>
      </w:rPr>
      <w:tblPr>
        <w:tblW w:w="0" w:type="auto"/>
        <w:jc w:val="left"/>
        <w:tblInd w:w="0" w:type="auto"/>
      </w:tblPr>
      <w:tcPr>
        <w:tcBorders>
          <w:top w:val="single" w:sz="8" w:space="0" w:color="000000"/>
          <w:left w:val="single" w:sz="8" w:space="0" w:color="000000"/>
          <w:bottom w:val="single" w:sz="8" w:space="0" w:color="000000"/>
          <w:right w:val="single" w:sz="8" w:space="0" w:color="000000"/>
        </w:tcBorders>
      </w:tcPr>
    </w:tblStylePr>
    <w:tblStylePr w:type="band1Vert">
      <w:pPr/>
      <w:tblPr>
        <w:tblW w:w="0" w:type="auto"/>
        <w:jc w:val="left"/>
        <w:tblInd w:w="0" w:type="auto"/>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customStyle="1" w:styleId="style4133">
    <w:name w:val="Medium Shading 12"/>
    <w:basedOn w:val="style105"/>
    <w:link w:val="style4095"/>
    <w:uiPriority w:val="63"/>
    <w:pPr/>
    <w:rPr/>
    <w:tblPr>
      <w:tblStyleRowBandSize w:val="1"/>
      <w:tblStyleColBandSize w:val="1"/>
      <w:tblW w:w="0" w:type="auto"/>
      <w:jc w:val="left"/>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blW w:w="0" w:type="auto"/>
        <w:jc w:val="left"/>
        <w:tblInd w:w="0" w:type="auto"/>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blW w:w="0" w:type="auto"/>
        <w:jc w:val="left"/>
        <w:tblInd w:w="0" w:type="auto"/>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blW w:w="0" w:type="auto"/>
        <w:jc w:val="left"/>
        <w:tblInd w:w="0" w:type="auto"/>
      </w:tblPr>
      <w:tcPr>
        <w:tcBorders>
          <w:insideH w:val="nil"/>
          <w:insideV w:val="nil"/>
        </w:tcBorders>
        <w:shd w:val="clear" w:color="auto" w:fill="c0c0c0"/>
      </w:tcPr>
    </w:tblStylePr>
    <w:tblStylePr w:type="band2Horz">
      <w:pPr/>
      <w:tblPr>
        <w:tblW w:w="0" w:type="auto"/>
        <w:jc w:val="left"/>
        <w:tblInd w:w="0" w:type="auto"/>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blW w:w="0" w:type="auto"/>
        <w:jc w:val="left"/>
        <w:tblInd w:w="0" w:type="auto"/>
      </w:tblPr>
      <w:tcPr>
        <w:tcBorders/>
        <w:shd w:val="clear" w:color="auto" w:fill="c0c0c0"/>
      </w:tcPr>
    </w:tblStylePr>
    <w:tcPr>
      <w:tcBorders/>
    </w:tcPr>
  </w:style>
  <w:style w:type="table" w:customStyle="1" w:styleId="style4134">
    <w:name w:val="Medium List 22"/>
    <w:basedOn w:val="style105"/>
    <w:link w:val="style4095"/>
    <w:uiPriority w:val="66"/>
    <w:pPr/>
    <w:rPr>
      <w:rFonts w:asciiTheme="majorHAnsi" w:eastAsiaTheme="majorEastAsia" w:hAnsiTheme="majorHAnsi" w:cstheme="majorBidi"/>
      <w:color w:val="000000"/>
    </w:rPr>
    <w:tblPr>
      <w:tblStyleRowBandSize w:val="1"/>
      <w:tblStyleColBandSize w:val="1"/>
      <w:tblW w:w="0" w:type="auto"/>
      <w:jc w:val="left"/>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blW w:w="0" w:type="auto"/>
        <w:jc w:val="left"/>
        <w:tblInd w:w="0" w:type="auto"/>
      </w:tblPr>
      <w:tcPr>
        <w:tcBorders>
          <w:top w:val="nil"/>
          <w:left w:val="nil"/>
          <w:bottom w:val="single" w:sz="24" w:space="0" w:color="000000"/>
          <w:right w:val="nil"/>
          <w:insideH w:val="nil"/>
          <w:insideV w:val="nil"/>
        </w:tcBorders>
        <w:shd w:val="clear" w:color="auto" w:fill="ffffff"/>
      </w:tcPr>
    </w:tblStylePr>
    <w:tblStylePr w:type="lastRow">
      <w:pPr/>
      <w:tblPr>
        <w:tblW w:w="0" w:type="auto"/>
        <w:jc w:val="left"/>
        <w:tblInd w:w="0" w:type="auto"/>
      </w:tblPr>
      <w:tcPr>
        <w:tcBorders>
          <w:top w:val="single" w:sz="8" w:space="0" w:color="000000"/>
          <w:left w:val="nil"/>
          <w:bottom w:val="nil"/>
          <w:right w:val="nil"/>
          <w:insideH w:val="nil"/>
          <w:insideV w:val="nil"/>
        </w:tcBorders>
        <w:shd w:val="clear" w:color="auto" w:fill="ffffff"/>
      </w:tcPr>
    </w:tblStylePr>
    <w:tblStylePr w:type="band1Horz">
      <w:pPr/>
      <w:tblPr>
        <w:tblW w:w="0" w:type="auto"/>
        <w:jc w:val="left"/>
        <w:tblInd w:w="0" w:type="auto"/>
      </w:tblPr>
      <w:tcPr>
        <w:tcBorders>
          <w:top w:val="nil"/>
          <w:bottom w:val="nil"/>
          <w:insideH w:val="nil"/>
          <w:insideV w:val="nil"/>
        </w:tcBorders>
        <w:shd w:val="clear" w:color="auto" w:fill="c0c0c0"/>
      </w:tcPr>
    </w:tblStylePr>
    <w:tblStylePr w:type="firstCol">
      <w:pPr/>
      <w:tblPr>
        <w:tblW w:w="0" w:type="auto"/>
        <w:jc w:val="left"/>
        <w:tblInd w:w="0" w:type="auto"/>
      </w:tblPr>
      <w:tcPr>
        <w:tcBorders>
          <w:top w:val="nil"/>
          <w:left w:val="nil"/>
          <w:bottom w:val="nil"/>
          <w:right w:val="single" w:sz="8" w:space="0" w:color="000000"/>
          <w:insideH w:val="nil"/>
          <w:insideV w:val="nil"/>
        </w:tcBorders>
        <w:shd w:val="clear" w:color="auto" w:fill="ffffff"/>
      </w:tcPr>
    </w:tblStylePr>
    <w:tblStylePr w:type="lastCol">
      <w:pPr/>
      <w:tblPr>
        <w:tblW w:w="0" w:type="auto"/>
        <w:jc w:val="left"/>
        <w:tblInd w:w="0" w:type="auto"/>
      </w:tblPr>
      <w:tcPr>
        <w:tcBorders>
          <w:top w:val="nil"/>
          <w:left w:val="single" w:sz="8" w:space="0" w:color="000000"/>
          <w:bottom w:val="nil"/>
          <w:right w:val="nil"/>
          <w:insideH w:val="nil"/>
          <w:insideV w:val="nil"/>
        </w:tcBorders>
        <w:shd w:val="clear" w:color="auto" w:fill="ffffff"/>
      </w:tcPr>
    </w:tblStylePr>
    <w:tblStylePr w:type="band1Vert">
      <w:pPr/>
      <w:tblPr>
        <w:tblW w:w="0" w:type="auto"/>
        <w:jc w:val="left"/>
        <w:tblInd w:w="0" w:type="auto"/>
      </w:tblPr>
      <w:tcPr>
        <w:tcBorders>
          <w:left w:val="nil"/>
          <w:right w:val="nil"/>
          <w:insideH w:val="nil"/>
          <w:insideV w:val="nil"/>
        </w:tcBorders>
        <w:shd w:val="clear" w:color="auto" w:fill="c0c0c0"/>
      </w:tcPr>
    </w:tblStylePr>
    <w:tblStylePr w:type="nwCell">
      <w:pPr/>
      <w:tblPr>
        <w:tblW w:w="0" w:type="auto"/>
        <w:jc w:val="left"/>
        <w:tblInd w:w="0" w:type="auto"/>
      </w:tblPr>
      <w:tcPr>
        <w:tcBorders/>
        <w:shd w:val="clear" w:color="auto" w:fill="ffffff"/>
      </w:tcPr>
    </w:tblStylePr>
    <w:tblStylePr w:type="swCell">
      <w:pPr/>
      <w:tblPr>
        <w:tblW w:w="0" w:type="auto"/>
        <w:jc w:val="left"/>
        <w:tblInd w:w="0" w:type="auto"/>
      </w:tblPr>
      <w:tcPr>
        <w:tcBorders>
          <w:top w:val="nil"/>
        </w:tcBorders>
      </w:tcPr>
    </w:tblStylePr>
    <w:tcPr>
      <w:tcBorders/>
    </w:tcPr>
  </w:style>
  <w:style w:type="character" w:styleId="style86">
    <w:name w:val="FollowedHyperlink"/>
    <w:basedOn w:val="style65"/>
    <w:link w:val="style4095"/>
    <w:uiPriority w:val="99"/>
    <w:rPr>
      <w:color w:val="800080"/>
      <w:u w:val="single"/>
    </w:rPr>
  </w:style>
  <w:style w:type="character" w:styleId="style40">
    <w:name w:val="line number"/>
    <w:basedOn w:val="style65"/>
    <w:link w:val="style4095"/>
    <w:uiPriority w:val="99"/>
  </w:style>
  <w:style w:type="paragraph" w:styleId="style29">
    <w:name w:val="footnote text"/>
    <w:basedOn w:val="style0"/>
    <w:link w:val="style4135"/>
    <w:uiPriority w:val="99"/>
    <w:pPr>
      <w:spacing w:after="0" w:lineRule="auto" w:line="240"/>
    </w:pPr>
    <w:rPr>
      <w:sz w:val="20"/>
      <w:szCs w:val="20"/>
    </w:rPr>
  </w:style>
  <w:style w:type="character" w:customStyle="1" w:styleId="style4135">
    <w:name w:val="Footnote Text Char"/>
    <w:basedOn w:val="style65"/>
    <w:link w:val="style29"/>
    <w:uiPriority w:val="99"/>
    <w:rPr>
      <w:rFonts w:eastAsiaTheme="minorEastAsia"/>
      <w:sz w:val="20"/>
      <w:szCs w:val="20"/>
    </w:rPr>
  </w:style>
  <w:style w:type="character" w:styleId="style38">
    <w:name w:val="footnote reference"/>
    <w:basedOn w:val="style65"/>
    <w:link w:val="style4095"/>
    <w:uiPriority w:val="99"/>
    <w:rPr>
      <w:vertAlign w:val="superscript"/>
    </w:rPr>
  </w:style>
</w:styles>
</file>

<file path=word/_rels/document.xml.rels><?xml version="1.0" encoding="UTF-8"?>
<Relationships xmlns="http://schemas.openxmlformats.org/package/2006/relationships"><Relationship Id="rId16" Type="http://schemas.openxmlformats.org/officeDocument/2006/relationships/theme" Target="theme/theme1.xml"/><Relationship Id="rId15" Type="http://schemas.openxmlformats.org/officeDocument/2006/relationships/settings" Target="settings.xml"/><Relationship Id="rId14" Type="http://schemas.openxmlformats.org/officeDocument/2006/relationships/fontTable" Target="fontTable.xml"/><Relationship Id="rId2" Type="http://schemas.openxmlformats.org/officeDocument/2006/relationships/image" Target="media/image1.wmf"/><Relationship Id="rId12" Type="http://schemas.openxmlformats.org/officeDocument/2006/relationships/footer" Target="footer1.xml"/><Relationship Id="rId1" Type="http://schemas.openxmlformats.org/officeDocument/2006/relationships/numbering" Target="numbering.xml"/><Relationship Id="rId13" Type="http://schemas.openxmlformats.org/officeDocument/2006/relationships/styles" Target="styles.xml"/><Relationship Id="rId4" Type="http://schemas.openxmlformats.org/officeDocument/2006/relationships/image" Target="media/image2.emf"/><Relationship Id="rId10" Type="http://schemas.openxmlformats.org/officeDocument/2006/relationships/image" Target="media/image8.emf"/><Relationship Id="rId3" Type="http://schemas.openxmlformats.org/officeDocument/2006/relationships/image" Target="media/image2.wmf"/><Relationship Id="rId11" Type="http://schemas.openxmlformats.org/officeDocument/2006/relationships/header" Target="header1.xml"/><Relationship Id="rId9" Type="http://schemas.openxmlformats.org/officeDocument/2006/relationships/image" Target="media/image7.emf"/><Relationship Id="rId6" Type="http://schemas.openxmlformats.org/officeDocument/2006/relationships/image" Target="media/image4.emf"/><Relationship Id="rId5" Type="http://schemas.openxmlformats.org/officeDocument/2006/relationships/image" Target="media/image3.emf"/><Relationship Id="rId8" Type="http://schemas.openxmlformats.org/officeDocument/2006/relationships/image" Target="media/image6.emf"/><Relationship Id="rId7"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7045</Words>
  <Characters>39050</Characters>
  <Application>Kingsoft Office Writer</Application>
  <DocSecurity>0</DocSecurity>
  <Paragraphs>934</Paragraphs>
  <ScaleCrop>false</ScaleCrop>
  <LinksUpToDate>false</LinksUpToDate>
  <CharactersWithSpaces>46530</CharactersWithSpaces>
  <SharedDoc>false</SharedDoc>
  <HyperlinksChanged>false</HyperlinksChanged>
  <AppVersion>12.0000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2018-04-16T11:22:00Z</dcterms:created>
  <dc:creator>user1</dc:creator>
  <lastModifiedBy>Kingsoft Office</lastModifiedBy>
  <lastPrinted>2016-06-02T02:12:00Z</lastPrinted>
  <dcterms:modified xsi:type="dcterms:W3CDTF">2020-02-06T08:46:41Z</dcterms:modified>
  <revision>2</revision>
</coreProperties>
</file>