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063" w:rsidRPr="003E7C6F" w:rsidRDefault="00690063" w:rsidP="00690063">
      <w:pPr>
        <w:rPr>
          <w:rStyle w:val="fontstyle31"/>
          <w:rFonts w:asciiTheme="majorBidi" w:hAnsiTheme="majorBidi" w:cstheme="majorBidi"/>
          <w:color w:val="auto"/>
        </w:rPr>
      </w:pPr>
      <w:r w:rsidRPr="003E7C6F">
        <w:rPr>
          <w:rStyle w:val="fontstyle01"/>
          <w:rFonts w:asciiTheme="majorBidi" w:hAnsiTheme="majorBidi" w:cstheme="majorBidi"/>
          <w:color w:val="auto"/>
          <w:sz w:val="32"/>
          <w:szCs w:val="32"/>
        </w:rPr>
        <w:t>Acupuncture effect on digestion in critically ill</w:t>
      </w:r>
      <w:r w:rsidRPr="003E7C6F">
        <w:rPr>
          <w:rFonts w:asciiTheme="majorBidi" w:hAnsiTheme="majorBidi" w:cstheme="majorBidi"/>
          <w:sz w:val="32"/>
          <w:szCs w:val="32"/>
        </w:rPr>
        <w:t xml:space="preserve"> </w:t>
      </w:r>
      <w:r w:rsidRPr="003E7C6F">
        <w:rPr>
          <w:rStyle w:val="fontstyle01"/>
          <w:rFonts w:asciiTheme="majorBidi" w:hAnsiTheme="majorBidi" w:cstheme="majorBidi"/>
          <w:color w:val="auto"/>
          <w:sz w:val="32"/>
          <w:szCs w:val="32"/>
        </w:rPr>
        <w:t xml:space="preserve">postoperative oral and </w:t>
      </w:r>
      <w:proofErr w:type="spellStart"/>
      <w:r w:rsidRPr="003E7C6F">
        <w:rPr>
          <w:rStyle w:val="fontstyle01"/>
          <w:rFonts w:asciiTheme="majorBidi" w:hAnsiTheme="majorBidi" w:cstheme="majorBidi"/>
          <w:color w:val="auto"/>
          <w:sz w:val="32"/>
          <w:szCs w:val="32"/>
        </w:rPr>
        <w:t>hypopharyngeal</w:t>
      </w:r>
      <w:proofErr w:type="spellEnd"/>
      <w:r w:rsidRPr="003E7C6F">
        <w:rPr>
          <w:rStyle w:val="fontstyle01"/>
          <w:rFonts w:asciiTheme="majorBidi" w:hAnsiTheme="majorBidi" w:cstheme="majorBidi"/>
          <w:color w:val="auto"/>
          <w:sz w:val="32"/>
          <w:szCs w:val="32"/>
        </w:rPr>
        <w:t xml:space="preserve"> cancer</w:t>
      </w:r>
      <w:r w:rsidRPr="003E7C6F">
        <w:rPr>
          <w:rFonts w:asciiTheme="majorBidi" w:hAnsiTheme="majorBidi" w:cstheme="majorBidi"/>
          <w:sz w:val="32"/>
          <w:szCs w:val="32"/>
        </w:rPr>
        <w:t xml:space="preserve"> </w:t>
      </w:r>
      <w:r w:rsidRPr="003E7C6F">
        <w:rPr>
          <w:rStyle w:val="fontstyle01"/>
          <w:rFonts w:asciiTheme="majorBidi" w:hAnsiTheme="majorBidi" w:cstheme="majorBidi"/>
          <w:color w:val="auto"/>
          <w:sz w:val="32"/>
          <w:szCs w:val="32"/>
        </w:rPr>
        <w:t>patients</w:t>
      </w:r>
      <w:r w:rsidRPr="003E7C6F">
        <w:rPr>
          <w:rFonts w:asciiTheme="majorBidi" w:hAnsiTheme="majorBidi" w:cstheme="majorBidi"/>
          <w:sz w:val="32"/>
          <w:szCs w:val="32"/>
        </w:rPr>
        <w:br/>
      </w:r>
      <w:r w:rsidRPr="003E7C6F">
        <w:rPr>
          <w:rStyle w:val="fontstyle21"/>
          <w:rFonts w:asciiTheme="majorBidi" w:hAnsiTheme="majorBidi" w:cstheme="majorBidi"/>
          <w:color w:val="auto"/>
          <w:sz w:val="32"/>
          <w:szCs w:val="32"/>
        </w:rPr>
        <w:t>A protocol for double-blind randomized control trial</w:t>
      </w:r>
      <w:r w:rsidRPr="003E7C6F">
        <w:rPr>
          <w:rFonts w:asciiTheme="majorBidi" w:hAnsiTheme="majorBidi" w:cstheme="majorBidi"/>
          <w:sz w:val="32"/>
          <w:szCs w:val="32"/>
        </w:rPr>
        <w:br/>
      </w:r>
    </w:p>
    <w:p w:rsidR="00690063" w:rsidRPr="003E7C6F" w:rsidRDefault="00690063" w:rsidP="00690063">
      <w:pPr>
        <w:rPr>
          <w:rStyle w:val="fontstyle41"/>
          <w:rFonts w:asciiTheme="majorBidi" w:hAnsiTheme="majorBidi" w:cstheme="majorBidi"/>
          <w:color w:val="auto"/>
          <w:sz w:val="24"/>
          <w:szCs w:val="24"/>
        </w:rPr>
      </w:pPr>
      <w:r w:rsidRPr="003E7C6F">
        <w:rPr>
          <w:rStyle w:val="fontstyle31"/>
          <w:rFonts w:asciiTheme="majorBidi" w:hAnsiTheme="majorBidi" w:cstheme="majorBidi"/>
          <w:color w:val="auto"/>
          <w:sz w:val="24"/>
          <w:szCs w:val="24"/>
        </w:rPr>
        <w:t>Eyal Ben-</w:t>
      </w:r>
      <w:proofErr w:type="spellStart"/>
      <w:r w:rsidRPr="003E7C6F">
        <w:rPr>
          <w:rStyle w:val="fontstyle31"/>
          <w:rFonts w:asciiTheme="majorBidi" w:hAnsiTheme="majorBidi" w:cstheme="majorBidi"/>
          <w:color w:val="auto"/>
          <w:sz w:val="24"/>
          <w:szCs w:val="24"/>
        </w:rPr>
        <w:t>Arie</w:t>
      </w:r>
      <w:proofErr w:type="spellEnd"/>
      <w:r w:rsidRPr="003E7C6F">
        <w:rPr>
          <w:rStyle w:val="fontstyle31"/>
          <w:rFonts w:asciiTheme="majorBidi" w:hAnsiTheme="majorBidi" w:cstheme="majorBidi"/>
          <w:color w:val="auto"/>
          <w:sz w:val="24"/>
          <w:szCs w:val="24"/>
        </w:rPr>
        <w:t xml:space="preserve">, </w:t>
      </w:r>
      <w:proofErr w:type="spellStart"/>
      <w:r w:rsidRPr="003E7C6F">
        <w:rPr>
          <w:rStyle w:val="fontstyle31"/>
          <w:rFonts w:asciiTheme="majorBidi" w:hAnsiTheme="majorBidi" w:cstheme="majorBidi"/>
          <w:color w:val="auto"/>
          <w:sz w:val="24"/>
          <w:szCs w:val="24"/>
        </w:rPr>
        <w:t>MSa</w:t>
      </w:r>
      <w:proofErr w:type="spellEnd"/>
      <w:r w:rsidRPr="003E7C6F">
        <w:rPr>
          <w:rStyle w:val="fontstyle31"/>
          <w:rFonts w:asciiTheme="majorBidi" w:hAnsiTheme="majorBidi" w:cstheme="majorBidi"/>
          <w:color w:val="auto"/>
          <w:sz w:val="24"/>
          <w:szCs w:val="24"/>
        </w:rPr>
        <w:t xml:space="preserve">, Pei-Yu Kao, </w:t>
      </w:r>
      <w:proofErr w:type="spellStart"/>
      <w:proofErr w:type="gramStart"/>
      <w:r w:rsidRPr="003E7C6F">
        <w:rPr>
          <w:rStyle w:val="fontstyle31"/>
          <w:rFonts w:asciiTheme="majorBidi" w:hAnsiTheme="majorBidi" w:cstheme="majorBidi"/>
          <w:color w:val="auto"/>
          <w:sz w:val="24"/>
          <w:szCs w:val="24"/>
        </w:rPr>
        <w:t>MDb,c</w:t>
      </w:r>
      <w:proofErr w:type="spellEnd"/>
      <w:proofErr w:type="gramEnd"/>
      <w:r w:rsidRPr="003E7C6F">
        <w:rPr>
          <w:rStyle w:val="fontstyle31"/>
          <w:rFonts w:asciiTheme="majorBidi" w:hAnsiTheme="majorBidi" w:cstheme="majorBidi"/>
          <w:color w:val="auto"/>
          <w:sz w:val="24"/>
          <w:szCs w:val="24"/>
        </w:rPr>
        <w:t xml:space="preserve">, Wen-Chao Ho, </w:t>
      </w:r>
      <w:proofErr w:type="spellStart"/>
      <w:r w:rsidRPr="003E7C6F">
        <w:rPr>
          <w:rStyle w:val="fontstyle31"/>
          <w:rFonts w:asciiTheme="majorBidi" w:hAnsiTheme="majorBidi" w:cstheme="majorBidi"/>
          <w:color w:val="auto"/>
          <w:sz w:val="24"/>
          <w:szCs w:val="24"/>
        </w:rPr>
        <w:t>PhDd,g</w:t>
      </w:r>
      <w:proofErr w:type="spellEnd"/>
      <w:r w:rsidRPr="003E7C6F">
        <w:rPr>
          <w:rStyle w:val="fontstyle31"/>
          <w:rFonts w:asciiTheme="majorBidi" w:hAnsiTheme="majorBidi" w:cstheme="majorBidi"/>
          <w:color w:val="auto"/>
          <w:sz w:val="24"/>
          <w:szCs w:val="24"/>
        </w:rPr>
        <w:t xml:space="preserve">, Yu Chen Lee, </w:t>
      </w:r>
      <w:proofErr w:type="spellStart"/>
      <w:r w:rsidRPr="003E7C6F">
        <w:rPr>
          <w:rStyle w:val="fontstyle31"/>
          <w:rFonts w:asciiTheme="majorBidi" w:hAnsiTheme="majorBidi" w:cstheme="majorBidi"/>
          <w:color w:val="auto"/>
          <w:sz w:val="24"/>
          <w:szCs w:val="24"/>
        </w:rPr>
        <w:t>PhDa,e,f</w:t>
      </w:r>
      <w:proofErr w:type="spellEnd"/>
      <w:r w:rsidRPr="003E7C6F">
        <w:rPr>
          <w:rStyle w:val="fontstyle31"/>
          <w:rFonts w:asciiTheme="majorBidi" w:hAnsiTheme="majorBidi" w:cstheme="majorBidi"/>
          <w:color w:val="auto"/>
          <w:sz w:val="24"/>
          <w:szCs w:val="24"/>
        </w:rPr>
        <w:t>,</w:t>
      </w:r>
      <w:r w:rsidRPr="003E7C6F">
        <w:rPr>
          <w:rStyle w:val="fontstyle41"/>
          <w:rFonts w:ascii="Cambria Math" w:hAnsi="Cambria Math" w:cs="Cambria Math"/>
          <w:color w:val="auto"/>
          <w:sz w:val="24"/>
          <w:szCs w:val="24"/>
        </w:rPr>
        <w:t>∗</w:t>
      </w:r>
    </w:p>
    <w:p w:rsidR="00690063" w:rsidRPr="003E7C6F" w:rsidRDefault="00690063" w:rsidP="0017786A">
      <w:pPr>
        <w:rPr>
          <w:rFonts w:asciiTheme="majorBidi" w:hAnsiTheme="majorBidi" w:cstheme="majorBidi"/>
          <w:sz w:val="20"/>
          <w:szCs w:val="20"/>
        </w:rPr>
      </w:pPr>
      <w:r w:rsidRPr="003E7C6F">
        <w:rPr>
          <w:rStyle w:val="fontstyle01"/>
          <w:rFonts w:asciiTheme="majorBidi" w:hAnsiTheme="majorBidi" w:cstheme="majorBidi"/>
          <w:color w:val="auto"/>
        </w:rPr>
        <w:t>a Graduate Institute of Acupuncture Science (Coll</w:t>
      </w:r>
      <w:r w:rsidR="0017786A" w:rsidRPr="003E7C6F">
        <w:rPr>
          <w:rStyle w:val="fontstyle01"/>
          <w:rFonts w:asciiTheme="majorBidi" w:hAnsiTheme="majorBidi" w:cstheme="majorBidi"/>
          <w:color w:val="auto"/>
        </w:rPr>
        <w:t>e</w:t>
      </w:r>
      <w:r w:rsidRPr="003E7C6F">
        <w:rPr>
          <w:rStyle w:val="fontstyle01"/>
          <w:rFonts w:asciiTheme="majorBidi" w:hAnsiTheme="majorBidi" w:cstheme="majorBidi"/>
          <w:color w:val="auto"/>
        </w:rPr>
        <w:t>ge of Chinese Medicine) China Medical University, b Division of Thoracic Surgery, Department of Surgery, c Surgical</w:t>
      </w:r>
      <w:r w:rsidRPr="003E7C6F">
        <w:rPr>
          <w:rFonts w:asciiTheme="majorBidi" w:hAnsiTheme="majorBidi" w:cstheme="majorBidi"/>
          <w:sz w:val="20"/>
          <w:szCs w:val="20"/>
        </w:rPr>
        <w:t xml:space="preserve"> </w:t>
      </w:r>
      <w:r w:rsidRPr="003E7C6F">
        <w:rPr>
          <w:rStyle w:val="fontstyle01"/>
          <w:rFonts w:asciiTheme="majorBidi" w:hAnsiTheme="majorBidi" w:cstheme="majorBidi"/>
          <w:color w:val="auto"/>
        </w:rPr>
        <w:t>Intensive Care Unit, d Department of Public Health, China Medical University, e Department of Acupuncture, China Medical University Hospital, f Chinese Medicine</w:t>
      </w:r>
      <w:r w:rsidRPr="003E7C6F">
        <w:rPr>
          <w:rFonts w:asciiTheme="majorBidi" w:hAnsiTheme="majorBidi" w:cstheme="majorBidi"/>
          <w:sz w:val="20"/>
          <w:szCs w:val="20"/>
        </w:rPr>
        <w:br/>
      </w:r>
      <w:r w:rsidRPr="003E7C6F">
        <w:rPr>
          <w:rStyle w:val="fontstyle01"/>
          <w:rFonts w:asciiTheme="majorBidi" w:hAnsiTheme="majorBidi" w:cstheme="majorBidi"/>
          <w:color w:val="auto"/>
        </w:rPr>
        <w:t>Research Center, China Medical University, g Department of Nursing and Graduate Institute of Nursing, Asia University, Taichung, Taiwan.</w:t>
      </w:r>
    </w:p>
    <w:p w:rsidR="003F6238" w:rsidRDefault="003F6238" w:rsidP="00C3735C">
      <w:pPr>
        <w:rPr>
          <w:rFonts w:asciiTheme="majorBidi" w:hAnsiTheme="majorBidi" w:cstheme="majorBidi"/>
          <w:sz w:val="24"/>
          <w:szCs w:val="24"/>
        </w:rPr>
      </w:pPr>
    </w:p>
    <w:p w:rsidR="00C3735C" w:rsidRPr="00690063" w:rsidRDefault="00C3735C" w:rsidP="00C3735C">
      <w:pPr>
        <w:rPr>
          <w:rFonts w:asciiTheme="majorBidi" w:hAnsiTheme="majorBidi" w:cstheme="majorBidi"/>
          <w:sz w:val="24"/>
          <w:szCs w:val="24"/>
        </w:rPr>
      </w:pPr>
      <w:r w:rsidRPr="005D1F29">
        <w:rPr>
          <w:rFonts w:asciiTheme="majorBidi" w:hAnsiTheme="majorBidi" w:cstheme="majorBidi"/>
          <w:b/>
          <w:bCs/>
          <w:sz w:val="24"/>
          <w:szCs w:val="24"/>
        </w:rPr>
        <w:t>Introduction:</w:t>
      </w:r>
      <w:r w:rsidRPr="00690063">
        <w:rPr>
          <w:rFonts w:asciiTheme="majorBidi" w:hAnsiTheme="majorBidi" w:cstheme="majorBidi"/>
          <w:sz w:val="24"/>
          <w:szCs w:val="24"/>
        </w:rPr>
        <w:t xml:space="preserve"> Head and neck cancer patients are at a high risk to suffer from malnourishment, a risk that increases in postoperative</w:t>
      </w:r>
      <w:r w:rsidRPr="00690063">
        <w:rPr>
          <w:rFonts w:asciiTheme="majorBidi" w:hAnsiTheme="majorBidi" w:cstheme="majorBidi"/>
          <w:sz w:val="24"/>
          <w:szCs w:val="24"/>
        </w:rPr>
        <w:t xml:space="preserve"> </w:t>
      </w:r>
      <w:r w:rsidRPr="00690063">
        <w:rPr>
          <w:rFonts w:asciiTheme="majorBidi" w:hAnsiTheme="majorBidi" w:cstheme="majorBidi"/>
          <w:sz w:val="24"/>
          <w:szCs w:val="24"/>
        </w:rPr>
        <w:t>condition and with the use of enteral nutrition (EN). Until now patients who are suffering from indigestion in the intensive care unit (ICU)</w:t>
      </w:r>
      <w:r w:rsidRPr="00690063">
        <w:rPr>
          <w:rFonts w:asciiTheme="majorBidi" w:hAnsiTheme="majorBidi" w:cstheme="majorBidi"/>
          <w:sz w:val="24"/>
          <w:szCs w:val="24"/>
        </w:rPr>
        <w:t xml:space="preserve"> </w:t>
      </w:r>
      <w:r w:rsidRPr="00690063">
        <w:rPr>
          <w:rFonts w:asciiTheme="majorBidi" w:hAnsiTheme="majorBidi" w:cstheme="majorBidi"/>
          <w:sz w:val="24"/>
          <w:szCs w:val="24"/>
        </w:rPr>
        <w:t xml:space="preserve">received treatment in the form of </w:t>
      </w:r>
      <w:proofErr w:type="spellStart"/>
      <w:r w:rsidRPr="00690063">
        <w:rPr>
          <w:rFonts w:asciiTheme="majorBidi" w:hAnsiTheme="majorBidi" w:cstheme="majorBidi"/>
          <w:sz w:val="24"/>
          <w:szCs w:val="24"/>
        </w:rPr>
        <w:t>prokinetic</w:t>
      </w:r>
      <w:proofErr w:type="spellEnd"/>
      <w:r w:rsidRPr="00690063">
        <w:rPr>
          <w:rFonts w:asciiTheme="majorBidi" w:hAnsiTheme="majorBidi" w:cstheme="majorBidi"/>
          <w:sz w:val="24"/>
          <w:szCs w:val="24"/>
        </w:rPr>
        <w:t xml:space="preserve"> drugs, drugs that can </w:t>
      </w:r>
      <w:r w:rsidRPr="00690063">
        <w:rPr>
          <w:rFonts w:asciiTheme="majorBidi" w:hAnsiTheme="majorBidi" w:cstheme="majorBidi"/>
          <w:sz w:val="24"/>
          <w:szCs w:val="24"/>
        </w:rPr>
        <w:t>only</w:t>
      </w:r>
      <w:r w:rsidRPr="00690063">
        <w:rPr>
          <w:rFonts w:asciiTheme="majorBidi" w:hAnsiTheme="majorBidi" w:cstheme="majorBidi"/>
          <w:sz w:val="24"/>
          <w:szCs w:val="24"/>
        </w:rPr>
        <w:t xml:space="preserve"> partially improve digestion</w:t>
      </w:r>
      <w:r w:rsidRPr="00690063">
        <w:rPr>
          <w:rFonts w:asciiTheme="majorBidi" w:hAnsiTheme="majorBidi" w:cstheme="majorBidi"/>
          <w:sz w:val="24"/>
          <w:szCs w:val="24"/>
        </w:rPr>
        <w:t xml:space="preserve"> </w:t>
      </w:r>
      <w:r w:rsidRPr="00690063">
        <w:rPr>
          <w:rFonts w:asciiTheme="majorBidi" w:hAnsiTheme="majorBidi" w:cstheme="majorBidi"/>
          <w:sz w:val="24"/>
          <w:szCs w:val="24"/>
        </w:rPr>
        <w:t xml:space="preserve">functions. The study aims are to investigate acupuncture effect in combination with </w:t>
      </w:r>
      <w:proofErr w:type="spellStart"/>
      <w:r w:rsidRPr="00690063">
        <w:rPr>
          <w:rFonts w:asciiTheme="majorBidi" w:hAnsiTheme="majorBidi" w:cstheme="majorBidi"/>
          <w:sz w:val="24"/>
          <w:szCs w:val="24"/>
        </w:rPr>
        <w:t>prokinetic</w:t>
      </w:r>
      <w:proofErr w:type="spellEnd"/>
      <w:r w:rsidRPr="00690063">
        <w:rPr>
          <w:rFonts w:asciiTheme="majorBidi" w:hAnsiTheme="majorBidi" w:cstheme="majorBidi"/>
          <w:sz w:val="24"/>
          <w:szCs w:val="24"/>
        </w:rPr>
        <w:t xml:space="preserve"> drugs in the</w:t>
      </w:r>
      <w:r w:rsidRPr="00690063">
        <w:rPr>
          <w:rFonts w:asciiTheme="majorBidi" w:hAnsiTheme="majorBidi" w:cstheme="majorBidi"/>
          <w:sz w:val="24"/>
          <w:szCs w:val="24"/>
        </w:rPr>
        <w:t xml:space="preserve"> </w:t>
      </w:r>
      <w:r w:rsidRPr="00690063">
        <w:rPr>
          <w:rFonts w:asciiTheme="majorBidi" w:hAnsiTheme="majorBidi" w:cstheme="majorBidi"/>
          <w:sz w:val="24"/>
          <w:szCs w:val="24"/>
        </w:rPr>
        <w:t xml:space="preserve">treatment of indigestion in postoperative oral and </w:t>
      </w:r>
      <w:proofErr w:type="spellStart"/>
      <w:r w:rsidRPr="00690063">
        <w:rPr>
          <w:rFonts w:asciiTheme="majorBidi" w:hAnsiTheme="majorBidi" w:cstheme="majorBidi"/>
          <w:sz w:val="24"/>
          <w:szCs w:val="24"/>
        </w:rPr>
        <w:t>hypopharyngeal</w:t>
      </w:r>
      <w:proofErr w:type="spellEnd"/>
      <w:r w:rsidRPr="00690063">
        <w:rPr>
          <w:rFonts w:asciiTheme="majorBidi" w:hAnsiTheme="majorBidi" w:cstheme="majorBidi"/>
          <w:sz w:val="24"/>
          <w:szCs w:val="24"/>
        </w:rPr>
        <w:t xml:space="preserve"> cancer patients in the ICU.</w:t>
      </w:r>
    </w:p>
    <w:p w:rsidR="00C3735C" w:rsidRPr="00690063" w:rsidRDefault="00C3735C" w:rsidP="00C3735C">
      <w:pPr>
        <w:rPr>
          <w:rFonts w:asciiTheme="majorBidi" w:hAnsiTheme="majorBidi" w:cstheme="majorBidi"/>
          <w:sz w:val="24"/>
          <w:szCs w:val="24"/>
        </w:rPr>
      </w:pPr>
      <w:r w:rsidRPr="005D1F29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Pr="00690063">
        <w:rPr>
          <w:rFonts w:asciiTheme="majorBidi" w:hAnsiTheme="majorBidi" w:cstheme="majorBidi"/>
          <w:sz w:val="24"/>
          <w:szCs w:val="24"/>
        </w:rPr>
        <w:t xml:space="preserve"> Single-center, double-blind randomized control trial. A total of 28 patients that will</w:t>
      </w:r>
      <w:r w:rsidRPr="00690063">
        <w:rPr>
          <w:rFonts w:asciiTheme="majorBidi" w:hAnsiTheme="majorBidi" w:cstheme="majorBidi"/>
          <w:sz w:val="24"/>
          <w:szCs w:val="24"/>
        </w:rPr>
        <w:t xml:space="preserve"> </w:t>
      </w:r>
      <w:r w:rsidRPr="00690063">
        <w:rPr>
          <w:rFonts w:asciiTheme="majorBidi" w:hAnsiTheme="majorBidi" w:cstheme="majorBidi"/>
          <w:sz w:val="24"/>
          <w:szCs w:val="24"/>
        </w:rPr>
        <w:t xml:space="preserve">meet the inclusion criteria: age 30 to 80, </w:t>
      </w:r>
      <w:proofErr w:type="spellStart"/>
      <w:r w:rsidRPr="00690063">
        <w:rPr>
          <w:rFonts w:asciiTheme="majorBidi" w:hAnsiTheme="majorBidi" w:cstheme="majorBidi"/>
          <w:sz w:val="24"/>
          <w:szCs w:val="24"/>
        </w:rPr>
        <w:t>postplastic</w:t>
      </w:r>
      <w:proofErr w:type="spellEnd"/>
      <w:r w:rsidRPr="00690063">
        <w:rPr>
          <w:rFonts w:asciiTheme="majorBidi" w:hAnsiTheme="majorBidi" w:cstheme="majorBidi"/>
          <w:sz w:val="24"/>
          <w:szCs w:val="24"/>
        </w:rPr>
        <w:t xml:space="preserve"> surgery for oral cancer or </w:t>
      </w:r>
      <w:proofErr w:type="spellStart"/>
      <w:r w:rsidRPr="00690063">
        <w:rPr>
          <w:rFonts w:asciiTheme="majorBidi" w:hAnsiTheme="majorBidi" w:cstheme="majorBidi"/>
          <w:sz w:val="24"/>
          <w:szCs w:val="24"/>
        </w:rPr>
        <w:t>hypopharyngeal</w:t>
      </w:r>
      <w:proofErr w:type="spellEnd"/>
      <w:r w:rsidRPr="00690063">
        <w:rPr>
          <w:rFonts w:asciiTheme="majorBidi" w:hAnsiTheme="majorBidi" w:cstheme="majorBidi"/>
          <w:sz w:val="24"/>
          <w:szCs w:val="24"/>
        </w:rPr>
        <w:t xml:space="preserve"> cancer, Apache score &lt;20, and needed EN. Patients will be randomly divided (1:1) into treatment group</w:t>
      </w:r>
      <w:r w:rsidRPr="00690063">
        <w:rPr>
          <w:rFonts w:asciiTheme="majorBidi" w:hAnsiTheme="majorBidi" w:cstheme="majorBidi"/>
          <w:sz w:val="24"/>
          <w:szCs w:val="24"/>
        </w:rPr>
        <w:t xml:space="preserve"> </w:t>
      </w:r>
      <w:r w:rsidRPr="00690063">
        <w:rPr>
          <w:rFonts w:asciiTheme="majorBidi" w:hAnsiTheme="majorBidi" w:cstheme="majorBidi"/>
          <w:sz w:val="24"/>
          <w:szCs w:val="24"/>
        </w:rPr>
        <w:t>or control group for 3 treatments in 3 days along with routine ICU treatment. The main outcome measurement will be the number of</w:t>
      </w:r>
      <w:r w:rsidRPr="00690063">
        <w:rPr>
          <w:rFonts w:asciiTheme="majorBidi" w:hAnsiTheme="majorBidi" w:cstheme="majorBidi"/>
          <w:sz w:val="24"/>
          <w:szCs w:val="24"/>
        </w:rPr>
        <w:t xml:space="preserve"> </w:t>
      </w:r>
      <w:r w:rsidRPr="00690063">
        <w:rPr>
          <w:rFonts w:asciiTheme="majorBidi" w:hAnsiTheme="majorBidi" w:cstheme="majorBidi"/>
          <w:sz w:val="24"/>
          <w:szCs w:val="24"/>
        </w:rPr>
        <w:t>days a patient needs to reach his total energy expenditure.</w:t>
      </w:r>
    </w:p>
    <w:p w:rsidR="00C3735C" w:rsidRPr="00690063" w:rsidRDefault="00C3735C" w:rsidP="00C3735C">
      <w:pPr>
        <w:rPr>
          <w:rFonts w:asciiTheme="majorBidi" w:hAnsiTheme="majorBidi" w:cstheme="majorBidi"/>
          <w:sz w:val="24"/>
          <w:szCs w:val="24"/>
        </w:rPr>
      </w:pPr>
      <w:r w:rsidRPr="005D1F29">
        <w:rPr>
          <w:rFonts w:asciiTheme="majorBidi" w:hAnsiTheme="majorBidi" w:cstheme="majorBidi"/>
          <w:b/>
          <w:bCs/>
          <w:sz w:val="24"/>
          <w:szCs w:val="24"/>
        </w:rPr>
        <w:t>Expected outcome:</w:t>
      </w:r>
      <w:r w:rsidRPr="00690063">
        <w:rPr>
          <w:rFonts w:asciiTheme="majorBidi" w:hAnsiTheme="majorBidi" w:cstheme="majorBidi"/>
          <w:sz w:val="24"/>
          <w:szCs w:val="24"/>
        </w:rPr>
        <w:t xml:space="preserve"> The results will shed light on the effectiveness and safety of acupuncture in a double-blind design treating</w:t>
      </w:r>
      <w:r w:rsidRPr="00690063">
        <w:rPr>
          <w:rFonts w:asciiTheme="majorBidi" w:hAnsiTheme="majorBidi" w:cstheme="majorBidi"/>
          <w:sz w:val="24"/>
          <w:szCs w:val="24"/>
        </w:rPr>
        <w:t xml:space="preserve"> </w:t>
      </w:r>
      <w:r w:rsidRPr="00690063">
        <w:rPr>
          <w:rFonts w:asciiTheme="majorBidi" w:hAnsiTheme="majorBidi" w:cstheme="majorBidi"/>
          <w:sz w:val="24"/>
          <w:szCs w:val="24"/>
        </w:rPr>
        <w:t>postoperative ICU cancer patients. In addition, the study presents a revolutionary double-blind design that if, will prove as successful</w:t>
      </w:r>
      <w:r w:rsidRPr="00690063">
        <w:rPr>
          <w:rFonts w:asciiTheme="majorBidi" w:hAnsiTheme="majorBidi" w:cstheme="majorBidi"/>
          <w:sz w:val="24"/>
          <w:szCs w:val="24"/>
        </w:rPr>
        <w:t xml:space="preserve"> </w:t>
      </w:r>
      <w:r w:rsidRPr="00690063">
        <w:rPr>
          <w:rFonts w:asciiTheme="majorBidi" w:hAnsiTheme="majorBidi" w:cstheme="majorBidi"/>
          <w:sz w:val="24"/>
          <w:szCs w:val="24"/>
        </w:rPr>
        <w:t>might influence the way double-blind acupuncture studies are performed today.</w:t>
      </w:r>
    </w:p>
    <w:p w:rsidR="00C3735C" w:rsidRPr="00690063" w:rsidRDefault="00C3735C" w:rsidP="00690063">
      <w:pPr>
        <w:rPr>
          <w:rFonts w:asciiTheme="majorBidi" w:hAnsiTheme="majorBidi" w:cstheme="majorBidi"/>
          <w:sz w:val="24"/>
          <w:szCs w:val="24"/>
        </w:rPr>
      </w:pPr>
      <w:r w:rsidRPr="005D1F29">
        <w:rPr>
          <w:rFonts w:asciiTheme="majorBidi" w:hAnsiTheme="majorBidi" w:cstheme="majorBidi"/>
          <w:b/>
          <w:bCs/>
          <w:sz w:val="24"/>
          <w:szCs w:val="24"/>
        </w:rPr>
        <w:t>Other information:</w:t>
      </w:r>
      <w:r w:rsidRPr="00690063">
        <w:rPr>
          <w:rFonts w:asciiTheme="majorBidi" w:hAnsiTheme="majorBidi" w:cstheme="majorBidi"/>
          <w:sz w:val="24"/>
          <w:szCs w:val="24"/>
        </w:rPr>
        <w:t xml:space="preserve"> Patients</w:t>
      </w:r>
      <w:r w:rsidRPr="00690063">
        <w:rPr>
          <w:rFonts w:asciiTheme="majorBidi" w:hAnsiTheme="majorBidi" w:cstheme="majorBidi"/>
          <w:sz w:val="24"/>
          <w:szCs w:val="24"/>
        </w:rPr>
        <w:t xml:space="preserve"> </w:t>
      </w:r>
      <w:r w:rsidRPr="00690063">
        <w:rPr>
          <w:rFonts w:asciiTheme="majorBidi" w:hAnsiTheme="majorBidi" w:cstheme="majorBidi"/>
          <w:sz w:val="24"/>
          <w:szCs w:val="24"/>
        </w:rPr>
        <w:t>enrollment and data collection will start from May 15, 2019. The study expected completion time: June 2021.</w:t>
      </w:r>
    </w:p>
    <w:p w:rsidR="00D26D8D" w:rsidRDefault="00C3735C" w:rsidP="00C3735C">
      <w:pPr>
        <w:rPr>
          <w:rFonts w:asciiTheme="majorBidi" w:hAnsiTheme="majorBidi" w:cstheme="majorBidi"/>
          <w:sz w:val="24"/>
          <w:szCs w:val="24"/>
        </w:rPr>
      </w:pPr>
      <w:r w:rsidRPr="005D1F29">
        <w:rPr>
          <w:rFonts w:asciiTheme="majorBidi" w:hAnsiTheme="majorBidi" w:cstheme="majorBidi"/>
          <w:b/>
          <w:bCs/>
          <w:sz w:val="24"/>
          <w:szCs w:val="24"/>
        </w:rPr>
        <w:t>Keywords:</w:t>
      </w:r>
      <w:r w:rsidRPr="00690063">
        <w:rPr>
          <w:rFonts w:asciiTheme="majorBidi" w:hAnsiTheme="majorBidi" w:cstheme="majorBidi"/>
          <w:sz w:val="24"/>
          <w:szCs w:val="24"/>
        </w:rPr>
        <w:t xml:space="preserve"> acupuncture, critically ill, digestion, </w:t>
      </w:r>
      <w:proofErr w:type="spellStart"/>
      <w:r w:rsidRPr="00690063">
        <w:rPr>
          <w:rFonts w:asciiTheme="majorBidi" w:hAnsiTheme="majorBidi" w:cstheme="majorBidi"/>
          <w:sz w:val="24"/>
          <w:szCs w:val="24"/>
        </w:rPr>
        <w:t>hypopharyngeal</w:t>
      </w:r>
      <w:proofErr w:type="spellEnd"/>
      <w:r w:rsidRPr="00690063">
        <w:rPr>
          <w:rFonts w:asciiTheme="majorBidi" w:hAnsiTheme="majorBidi" w:cstheme="majorBidi"/>
          <w:sz w:val="24"/>
          <w:szCs w:val="24"/>
        </w:rPr>
        <w:t xml:space="preserve"> cancer, intensive care, intensive care unit, oral cancer</w:t>
      </w:r>
    </w:p>
    <w:p w:rsidR="003F6238" w:rsidRDefault="003F6238" w:rsidP="00C3735C">
      <w:p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690063" w:rsidRDefault="005D1F29" w:rsidP="00C3735C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D1F29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:rsidR="005D1F29" w:rsidRPr="005D1F29" w:rsidRDefault="005D1F29" w:rsidP="00932C6D">
      <w:pPr>
        <w:rPr>
          <w:rFonts w:asciiTheme="majorBidi" w:hAnsiTheme="majorBidi" w:cstheme="majorBidi"/>
          <w:sz w:val="24"/>
          <w:szCs w:val="24"/>
        </w:rPr>
      </w:pPr>
      <w:r w:rsidRPr="005D1F29">
        <w:rPr>
          <w:rFonts w:asciiTheme="majorBidi" w:hAnsiTheme="majorBidi" w:cstheme="majorBidi"/>
          <w:sz w:val="24"/>
          <w:szCs w:val="24"/>
        </w:rPr>
        <w:t xml:space="preserve">Eyal </w:t>
      </w:r>
      <w:r>
        <w:rPr>
          <w:rFonts w:asciiTheme="majorBidi" w:hAnsiTheme="majorBidi" w:cstheme="majorBidi"/>
          <w:sz w:val="24"/>
          <w:szCs w:val="24"/>
        </w:rPr>
        <w:t>Ben-</w:t>
      </w:r>
      <w:proofErr w:type="spellStart"/>
      <w:r>
        <w:rPr>
          <w:rFonts w:asciiTheme="majorBidi" w:hAnsiTheme="majorBidi" w:cstheme="majorBidi"/>
          <w:sz w:val="24"/>
          <w:szCs w:val="24"/>
        </w:rPr>
        <w:t>Arie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is a PhD student </w:t>
      </w:r>
      <w:r w:rsidR="0017786A">
        <w:rPr>
          <w:rFonts w:asciiTheme="majorBidi" w:hAnsiTheme="majorBidi" w:cstheme="majorBidi"/>
          <w:sz w:val="24"/>
          <w:szCs w:val="24"/>
        </w:rPr>
        <w:t>at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17786A"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>Graduate Institute of Acupuncture Science, China Medica</w:t>
      </w:r>
      <w:r w:rsidR="0017786A">
        <w:rPr>
          <w:rFonts w:asciiTheme="majorBidi" w:hAnsiTheme="majorBidi" w:cstheme="majorBidi"/>
          <w:sz w:val="24"/>
          <w:szCs w:val="24"/>
        </w:rPr>
        <w:t>l University, Taich</w:t>
      </w:r>
      <w:r w:rsidR="00932C6D">
        <w:rPr>
          <w:rFonts w:asciiTheme="majorBidi" w:hAnsiTheme="majorBidi" w:cstheme="majorBidi"/>
          <w:sz w:val="24"/>
          <w:szCs w:val="24"/>
        </w:rPr>
        <w:t>ung, Taiwan. His studies are investigating the role of</w:t>
      </w:r>
      <w:r w:rsidR="00615E43">
        <w:rPr>
          <w:rFonts w:asciiTheme="majorBidi" w:hAnsiTheme="majorBidi" w:cstheme="majorBidi"/>
          <w:sz w:val="24"/>
          <w:szCs w:val="24"/>
        </w:rPr>
        <w:t xml:space="preserve"> </w:t>
      </w:r>
      <w:r w:rsidR="0017786A">
        <w:rPr>
          <w:rFonts w:asciiTheme="majorBidi" w:hAnsiTheme="majorBidi" w:cstheme="majorBidi"/>
          <w:sz w:val="24"/>
          <w:szCs w:val="24"/>
        </w:rPr>
        <w:t xml:space="preserve">acupuncture as an integrative </w:t>
      </w:r>
      <w:r w:rsidR="00615E43">
        <w:rPr>
          <w:rFonts w:asciiTheme="majorBidi" w:hAnsiTheme="majorBidi" w:cstheme="majorBidi"/>
          <w:sz w:val="24"/>
          <w:szCs w:val="24"/>
        </w:rPr>
        <w:t>therapy</w:t>
      </w:r>
      <w:r w:rsidR="0017786A">
        <w:rPr>
          <w:rFonts w:asciiTheme="majorBidi" w:hAnsiTheme="majorBidi" w:cstheme="majorBidi"/>
          <w:sz w:val="24"/>
          <w:szCs w:val="24"/>
        </w:rPr>
        <w:t xml:space="preserve"> in critically ill patients. </w:t>
      </w:r>
    </w:p>
    <w:sectPr w:rsidR="005D1F29" w:rsidRPr="005D1F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gmbbAdvTT99c4c969">
    <w:altName w:val="Times New Roman"/>
    <w:panose1 w:val="00000000000000000000"/>
    <w:charset w:val="00"/>
    <w:family w:val="roman"/>
    <w:notTrueType/>
    <w:pitch w:val="default"/>
  </w:font>
  <w:font w:name="XqsmvpAdvTTb5929f4c">
    <w:altName w:val="Times New Roman"/>
    <w:panose1 w:val="00000000000000000000"/>
    <w:charset w:val="00"/>
    <w:family w:val="roman"/>
    <w:notTrueType/>
    <w:pitch w:val="default"/>
  </w:font>
  <w:font w:name="AdvOT6e5d2ec0+fb">
    <w:altName w:val="Times New Roman"/>
    <w:panose1 w:val="00000000000000000000"/>
    <w:charset w:val="00"/>
    <w:family w:val="roman"/>
    <w:notTrueType/>
    <w:pitch w:val="default"/>
  </w:font>
  <w:font w:name="AdvP4C4E51">
    <w:altName w:val="Times New Roman"/>
    <w:panose1 w:val="00000000000000000000"/>
    <w:charset w:val="00"/>
    <w:family w:val="roman"/>
    <w:notTrueType/>
    <w:pitch w:val="default"/>
  </w:font>
  <w:font w:name="AdvOTb0c9bf5d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2MzWzNDWytDA2NjNX0lEKTi0uzszPAykwrAUAcKj2XywAAAA="/>
  </w:docVars>
  <w:rsids>
    <w:rsidRoot w:val="00C3735C"/>
    <w:rsid w:val="0017786A"/>
    <w:rsid w:val="001C37DA"/>
    <w:rsid w:val="003E7C6F"/>
    <w:rsid w:val="003F6238"/>
    <w:rsid w:val="005D1F29"/>
    <w:rsid w:val="00615E43"/>
    <w:rsid w:val="00690063"/>
    <w:rsid w:val="00737FFD"/>
    <w:rsid w:val="0084253C"/>
    <w:rsid w:val="00932C6D"/>
    <w:rsid w:val="00BB1692"/>
    <w:rsid w:val="00C3735C"/>
    <w:rsid w:val="00D2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CC679"/>
  <w15:chartTrackingRefBased/>
  <w15:docId w15:val="{936455BE-3C63-4A95-87DF-B8712A40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3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735C"/>
    <w:pPr>
      <w:spacing w:after="0" w:line="240" w:lineRule="auto"/>
    </w:pPr>
    <w:rPr>
      <w:rFonts w:asciiTheme="majorBidi" w:hAnsiTheme="majorBidi"/>
      <w:sz w:val="24"/>
    </w:rPr>
  </w:style>
  <w:style w:type="character" w:customStyle="1" w:styleId="fontstyle01">
    <w:name w:val="fontstyle01"/>
    <w:basedOn w:val="DefaultParagraphFont"/>
    <w:rsid w:val="00C3735C"/>
    <w:rPr>
      <w:rFonts w:ascii="GhgmbbAdvTT99c4c969" w:hAnsi="GhgmbbAdvTT99c4c969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DefaultParagraphFont"/>
    <w:rsid w:val="00C3735C"/>
    <w:rPr>
      <w:rFonts w:ascii="XqsmvpAdvTTb5929f4c" w:hAnsi="XqsmvpAdvTTb5929f4c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31">
    <w:name w:val="fontstyle31"/>
    <w:basedOn w:val="DefaultParagraphFont"/>
    <w:rsid w:val="00C3735C"/>
    <w:rPr>
      <w:rFonts w:ascii="AdvOT6e5d2ec0+fb" w:hAnsi="AdvOT6e5d2ec0+fb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41">
    <w:name w:val="fontstyle41"/>
    <w:basedOn w:val="DefaultParagraphFont"/>
    <w:rsid w:val="00C3735C"/>
    <w:rPr>
      <w:rFonts w:ascii="AdvP4C4E51" w:hAnsi="AdvP4C4E51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51">
    <w:name w:val="fontstyle51"/>
    <w:basedOn w:val="DefaultParagraphFont"/>
    <w:rsid w:val="00C3735C"/>
    <w:rPr>
      <w:rFonts w:ascii="AdvOTb0c9bf5d" w:hAnsi="AdvOTb0c9bf5d" w:hint="default"/>
      <w:b w:val="0"/>
      <w:bCs w:val="0"/>
      <w:i w:val="0"/>
      <w:iCs w:val="0"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Eyal</dc:creator>
  <cp:keywords/>
  <dc:description/>
  <cp:lastModifiedBy>Eyal</cp:lastModifiedBy>
  <cp:revision>7</cp:revision>
  <dcterms:created xsi:type="dcterms:W3CDTF">2019-12-21T00:49:00Z</dcterms:created>
  <dcterms:modified xsi:type="dcterms:W3CDTF">2019-12-21T01:39:00Z</dcterms:modified>
</cp:coreProperties>
</file>