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EF9" w:rsidRPr="007B7A06" w:rsidRDefault="006D7EF9" w:rsidP="006D7EF9">
      <w:pPr>
        <w:pBdr>
          <w:bottom w:val="single" w:sz="6" w:space="0" w:color="A2A9B1"/>
        </w:pBdr>
        <w:spacing w:after="60" w:line="240" w:lineRule="auto"/>
        <w:jc w:val="center"/>
        <w:outlineLvl w:val="0"/>
        <w:rPr>
          <w:rFonts w:ascii="Arial" w:hAnsi="Arial" w:cs="Arial"/>
          <w:b/>
          <w:sz w:val="24"/>
          <w:szCs w:val="24"/>
        </w:rPr>
      </w:pPr>
      <w:r w:rsidRPr="007B7A06">
        <w:rPr>
          <w:rFonts w:ascii="Arial" w:hAnsi="Arial" w:cs="Arial"/>
          <w:b/>
          <w:sz w:val="24"/>
          <w:szCs w:val="24"/>
        </w:rPr>
        <w:t>MINT TEA BENEFICIAL EFFECTS WITH ANTIBIOTICS THERAPY IN YOUNGER CHILDREN AND REDUCING FUNGAL INFECTIONS</w:t>
      </w:r>
    </w:p>
    <w:p w:rsidR="006D7EF9" w:rsidRPr="007B7A06" w:rsidRDefault="006D7EF9" w:rsidP="006D7EF9">
      <w:pPr>
        <w:pBdr>
          <w:bottom w:val="single" w:sz="6" w:space="0" w:color="A2A9B1"/>
        </w:pBdr>
        <w:spacing w:after="60" w:line="240" w:lineRule="auto"/>
        <w:jc w:val="center"/>
        <w:outlineLvl w:val="0"/>
        <w:rPr>
          <w:rFonts w:ascii="Arial" w:hAnsi="Arial" w:cs="Arial"/>
          <w:b/>
          <w:sz w:val="24"/>
          <w:szCs w:val="24"/>
        </w:rPr>
      </w:pPr>
    </w:p>
    <w:p w:rsidR="004865B2" w:rsidRDefault="006D7EF9" w:rsidP="006D7EF9">
      <w:pPr>
        <w:pBdr>
          <w:bottom w:val="single" w:sz="6" w:space="0" w:color="A2A9B1"/>
        </w:pBdr>
        <w:spacing w:after="60" w:line="240" w:lineRule="auto"/>
        <w:jc w:val="both"/>
        <w:outlineLvl w:val="0"/>
        <w:rPr>
          <w:rFonts w:ascii="Arial" w:hAnsi="Arial" w:cs="Arial"/>
          <w:sz w:val="24"/>
          <w:szCs w:val="24"/>
        </w:rPr>
      </w:pPr>
      <w:r w:rsidRPr="000C013E">
        <w:rPr>
          <w:rFonts w:ascii="Arial" w:hAnsi="Arial" w:cs="Arial"/>
          <w:b/>
          <w:sz w:val="24"/>
          <w:szCs w:val="24"/>
        </w:rPr>
        <w:t>Bajraktarevic Adnan</w:t>
      </w:r>
      <w:r w:rsidRPr="000C013E">
        <w:rPr>
          <w:rFonts w:ascii="Arial" w:hAnsi="Arial" w:cs="Arial"/>
          <w:sz w:val="24"/>
          <w:szCs w:val="24"/>
        </w:rPr>
        <w:t xml:space="preserve"> 1*,  Merdzanic Rijad 1</w:t>
      </w:r>
      <w:r w:rsidRPr="000C013E">
        <w:rPr>
          <w:rFonts w:ascii="Arial" w:hAnsi="Arial" w:cs="Arial"/>
          <w:sz w:val="24"/>
          <w:szCs w:val="24"/>
          <w:lang w:val="bs-Latn-BA"/>
        </w:rPr>
        <w:t>*</w:t>
      </w:r>
      <w:r w:rsidRPr="000C013E">
        <w:rPr>
          <w:rFonts w:ascii="Arial" w:hAnsi="Arial" w:cs="Arial"/>
          <w:sz w:val="24"/>
          <w:szCs w:val="24"/>
        </w:rPr>
        <w:t>,Kr</w:t>
      </w:r>
      <w:r w:rsidRPr="000C013E">
        <w:rPr>
          <w:rFonts w:ascii="Arial" w:hAnsi="Arial" w:cs="Arial"/>
          <w:sz w:val="24"/>
          <w:szCs w:val="24"/>
          <w:lang w:val="bs-Latn-BA"/>
        </w:rPr>
        <w:t>dzalic  Zecevic  Belma</w:t>
      </w:r>
      <w:r w:rsidRPr="000C013E">
        <w:rPr>
          <w:rFonts w:ascii="Arial" w:hAnsi="Arial" w:cs="Arial"/>
          <w:sz w:val="24"/>
          <w:szCs w:val="24"/>
        </w:rPr>
        <w:t xml:space="preserve"> 1*, Delic Aida 1*, Kurtagic Sabina </w:t>
      </w:r>
      <w:r>
        <w:rPr>
          <w:rFonts w:ascii="Arial" w:hAnsi="Arial" w:cs="Arial"/>
          <w:sz w:val="24"/>
          <w:szCs w:val="24"/>
        </w:rPr>
        <w:t>1</w:t>
      </w:r>
      <w:r w:rsidRPr="000C013E">
        <w:rPr>
          <w:rFonts w:ascii="Arial" w:hAnsi="Arial" w:cs="Arial"/>
          <w:sz w:val="24"/>
          <w:szCs w:val="24"/>
        </w:rPr>
        <w:t>*, Selimovic Amina  2*, Smajic Basic Rubina 3*, Niksic Haris 4*, Gadzo Gana 4*, Drnda Alija 5*. Public Health Institution of Canton Sarajevo 1*,</w:t>
      </w:r>
      <w:r w:rsidRPr="000C013E">
        <w:rPr>
          <w:rFonts w:ascii="Arial" w:hAnsi="Arial" w:cs="Arial"/>
          <w:sz w:val="24"/>
          <w:szCs w:val="24"/>
          <w:shd w:val="clear" w:color="auto" w:fill="FFFFFF"/>
        </w:rPr>
        <w:t xml:space="preserve"> </w:t>
      </w:r>
      <w:r w:rsidRPr="000C013E">
        <w:rPr>
          <w:rFonts w:ascii="Arial" w:hAnsi="Arial" w:cs="Arial"/>
          <w:sz w:val="24"/>
          <w:szCs w:val="24"/>
        </w:rPr>
        <w:t>Pediatrics clinic Sarajevo 2*, Stomatology faculty Sarajevo 3*, Pharmacology facutly Sarajevo 4*, Infectious clinic Sarajevo 5*.</w:t>
      </w:r>
    </w:p>
    <w:p w:rsidR="006D7EF9" w:rsidRDefault="006D7EF9" w:rsidP="006D7EF9">
      <w:pPr>
        <w:pBdr>
          <w:bottom w:val="single" w:sz="6" w:space="0" w:color="A2A9B1"/>
        </w:pBdr>
        <w:spacing w:after="60" w:line="240" w:lineRule="auto"/>
        <w:jc w:val="both"/>
        <w:outlineLvl w:val="0"/>
        <w:rPr>
          <w:rFonts w:ascii="Arial" w:hAnsi="Arial" w:cs="Arial"/>
          <w:sz w:val="24"/>
          <w:szCs w:val="24"/>
        </w:rPr>
      </w:pPr>
    </w:p>
    <w:p w:rsidR="006D7EF9" w:rsidRPr="000C013E" w:rsidRDefault="006D7EF9" w:rsidP="006D7EF9">
      <w:pPr>
        <w:pBdr>
          <w:bottom w:val="single" w:sz="6" w:space="0" w:color="A2A9B1"/>
        </w:pBdr>
        <w:spacing w:after="60" w:line="240" w:lineRule="auto"/>
        <w:jc w:val="both"/>
        <w:outlineLvl w:val="0"/>
        <w:rPr>
          <w:rFonts w:ascii="Arial" w:hAnsi="Arial" w:cs="Arial"/>
          <w:sz w:val="24"/>
          <w:szCs w:val="24"/>
        </w:rPr>
      </w:pPr>
      <w:r>
        <w:rPr>
          <w:rFonts w:ascii="Arial" w:hAnsi="Arial" w:cs="Arial"/>
          <w:sz w:val="24"/>
          <w:szCs w:val="24"/>
        </w:rPr>
        <w:t>ABSTRACT</w:t>
      </w:r>
    </w:p>
    <w:p w:rsidR="006D7EF9" w:rsidRDefault="006D7EF9" w:rsidP="006D7EF9">
      <w:pPr>
        <w:pBdr>
          <w:bottom w:val="single" w:sz="6" w:space="0" w:color="A2A9B1"/>
        </w:pBdr>
        <w:spacing w:after="60" w:line="240" w:lineRule="auto"/>
        <w:jc w:val="both"/>
        <w:outlineLvl w:val="0"/>
        <w:rPr>
          <w:rFonts w:ascii="Arial" w:hAnsi="Arial" w:cs="Arial"/>
          <w:sz w:val="24"/>
          <w:szCs w:val="24"/>
        </w:rPr>
      </w:pPr>
    </w:p>
    <w:p w:rsidR="006D7EF9" w:rsidRPr="000C013E" w:rsidRDefault="006D7EF9" w:rsidP="006D7EF9">
      <w:pPr>
        <w:jc w:val="both"/>
        <w:rPr>
          <w:rFonts w:ascii="Arial" w:hAnsi="Arial" w:cs="Arial"/>
          <w:sz w:val="24"/>
          <w:szCs w:val="24"/>
        </w:rPr>
      </w:pPr>
      <w:r w:rsidRPr="000C013E">
        <w:rPr>
          <w:rFonts w:ascii="Arial" w:hAnsi="Arial" w:cs="Arial"/>
          <w:sz w:val="24"/>
          <w:szCs w:val="24"/>
        </w:rPr>
        <w:t xml:space="preserve">INTRODUCTION: </w:t>
      </w:r>
      <w:r w:rsidRPr="000C013E">
        <w:rPr>
          <w:rStyle w:val="notranslate"/>
          <w:rFonts w:ascii="Arial" w:hAnsi="Arial" w:cs="Arial"/>
          <w:color w:val="000000"/>
          <w:sz w:val="24"/>
          <w:szCs w:val="24"/>
        </w:rPr>
        <w:t>The diagnosis in mouth and digestive tract of Candida in children was limited to its most visible manifestations, for example oral yeast infections.</w:t>
      </w:r>
      <w:r w:rsidRPr="000C013E">
        <w:rPr>
          <w:rStyle w:val="apple-converted-space"/>
          <w:rFonts w:ascii="Arial" w:hAnsi="Arial" w:cs="Arial"/>
          <w:color w:val="000000"/>
          <w:sz w:val="24"/>
          <w:szCs w:val="24"/>
        </w:rPr>
        <w:t xml:space="preserve"> After antibiotic therapy in children from one year up to two years is usually manifested complications in the mouth or changes in stool consistency and diarrhea. </w:t>
      </w:r>
    </w:p>
    <w:p w:rsidR="006D7EF9" w:rsidRPr="000C013E" w:rsidRDefault="006D7EF9" w:rsidP="006D7EF9">
      <w:pPr>
        <w:jc w:val="both"/>
        <w:rPr>
          <w:rFonts w:ascii="Arial" w:hAnsi="Arial" w:cs="Arial"/>
          <w:sz w:val="24"/>
          <w:szCs w:val="24"/>
        </w:rPr>
      </w:pPr>
      <w:r w:rsidRPr="000C013E">
        <w:rPr>
          <w:rFonts w:ascii="Arial" w:hAnsi="Arial" w:cs="Arial"/>
          <w:sz w:val="24"/>
          <w:szCs w:val="24"/>
        </w:rPr>
        <w:t xml:space="preserve">Aims: Aim to see that the use of mint tea with antibiotic therapy that reduces the risk of thrush in the mouth and candidiasis in the digestive tract. </w:t>
      </w:r>
    </w:p>
    <w:p w:rsidR="006D7EF9" w:rsidRPr="000C013E" w:rsidRDefault="006D7EF9" w:rsidP="006D7EF9">
      <w:pPr>
        <w:jc w:val="both"/>
        <w:rPr>
          <w:rFonts w:ascii="Arial" w:hAnsi="Arial" w:cs="Arial"/>
          <w:sz w:val="24"/>
          <w:szCs w:val="24"/>
        </w:rPr>
      </w:pPr>
      <w:r w:rsidRPr="000C013E">
        <w:rPr>
          <w:rFonts w:ascii="Arial" w:hAnsi="Arial" w:cs="Arial"/>
          <w:sz w:val="24"/>
          <w:szCs w:val="24"/>
        </w:rPr>
        <w:t xml:space="preserve">METHODS: Authors used a comparative analysis of the use of mint tea for children in ages from twelve to twenty four months with antibiotic therapy in a sample of 100 children taking tea and 100 children who did not benefit from tea with standardization therapy preparations of amoxicillin with klavolunic acid in the appropriate dose by weight of the child. The study was performed during the first six months of 2016. The occurrence of thrush and watery stools, in which a microbial candida was our reference and indicator complication of antibiotic therapy. </w:t>
      </w:r>
    </w:p>
    <w:p w:rsidR="006D7EF9" w:rsidRPr="000C013E" w:rsidRDefault="006D7EF9" w:rsidP="006D7EF9">
      <w:pPr>
        <w:jc w:val="both"/>
        <w:rPr>
          <w:rFonts w:ascii="Arial" w:hAnsi="Arial" w:cs="Arial"/>
          <w:sz w:val="24"/>
          <w:szCs w:val="24"/>
        </w:rPr>
      </w:pPr>
      <w:r w:rsidRPr="000C013E">
        <w:rPr>
          <w:rFonts w:ascii="Arial" w:hAnsi="Arial" w:cs="Arial"/>
          <w:sz w:val="24"/>
          <w:szCs w:val="24"/>
        </w:rPr>
        <w:t xml:space="preserve">RESULTS: The results showed that children who took mint tea with amoksiciln clavunolic acid had only one case (1%) thrush and no cases of occurrence 0% candidiasis in faeces. But other sample of the children who had tea had nine (9%) cases of thrush and four cases (4%) occurrence of candidiasis in faeces. </w:t>
      </w:r>
    </w:p>
    <w:p w:rsidR="006D7EF9" w:rsidRPr="000C013E" w:rsidRDefault="006D7EF9" w:rsidP="006D7EF9">
      <w:pPr>
        <w:jc w:val="both"/>
        <w:rPr>
          <w:rFonts w:ascii="Arial" w:hAnsi="Arial" w:cs="Arial"/>
          <w:sz w:val="24"/>
          <w:szCs w:val="24"/>
        </w:rPr>
      </w:pPr>
      <w:r w:rsidRPr="000C013E">
        <w:rPr>
          <w:rFonts w:ascii="Arial" w:hAnsi="Arial" w:cs="Arial"/>
          <w:sz w:val="24"/>
          <w:szCs w:val="24"/>
        </w:rPr>
        <w:t xml:space="preserve">CONCLUSION: We conclude that the use of mint tea with antibiotics amoxicillin with clavunolic acid then reduces the occurrence of oral and digestive or candida. The plant mint and its 30 sub-species has a beneficial effect on combating fungal infections in young children. </w:t>
      </w:r>
    </w:p>
    <w:p w:rsidR="006D7EF9" w:rsidRDefault="006D7EF9" w:rsidP="006D7EF9">
      <w:r w:rsidRPr="000C013E">
        <w:rPr>
          <w:rFonts w:ascii="Arial" w:hAnsi="Arial" w:cs="Arial"/>
          <w:sz w:val="24"/>
          <w:szCs w:val="24"/>
        </w:rPr>
        <w:t>KEY WORDS</w:t>
      </w:r>
      <w:r w:rsidRPr="000C013E">
        <w:rPr>
          <w:rFonts w:ascii="Arial" w:hAnsi="Arial" w:cs="Arial"/>
          <w:sz w:val="24"/>
          <w:szCs w:val="24"/>
          <w:lang w:val="bs-Latn-BA"/>
        </w:rPr>
        <w:t xml:space="preserve">: Mint, Tea, Antibiotic, Canidida, Children, Prevention. </w:t>
      </w:r>
    </w:p>
    <w:sectPr w:rsidR="006D7EF9" w:rsidSect="004865B2">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compat/>
  <w:rsids>
    <w:rsidRoot w:val="006D7EF9"/>
    <w:rsid w:val="004865B2"/>
    <w:rsid w:val="006D7E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E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D7EF9"/>
  </w:style>
  <w:style w:type="character" w:customStyle="1" w:styleId="notranslate">
    <w:name w:val="notranslate"/>
    <w:basedOn w:val="DefaultParagraphFont"/>
    <w:rsid w:val="006D7EF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ad</cp:lastModifiedBy>
  <cp:revision>1</cp:revision>
  <dcterms:created xsi:type="dcterms:W3CDTF">2018-01-01T03:22:00Z</dcterms:created>
  <dcterms:modified xsi:type="dcterms:W3CDTF">2018-01-01T03:25:00Z</dcterms:modified>
</cp:coreProperties>
</file>