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keepNext/>
      </w:pPr>
      <w:r>
        <w:rPr>
          <w:rFonts w:eastAsia="MS PGothic"/>
          <w:b/>
          <w:noProof/>
          <w:color w:val="000000"/>
          <w:sz w:val="28"/>
          <w:szCs w:val="28"/>
        </w:rPr>
        <mc:AlternateContent>
          <mc:Choice Requires="wps">
            <w:drawing>
              <wp:anchor distT="0" distB="0" distL="114300" distR="114300" behindDoc="0" locked="0" layoutInCell="1" simplePos="0" relativeHeight="251657728" allowOverlap="1" hidden="0">
                <wp:simplePos x="0" y="0"/>
                <wp:positionH relativeFrom="column">
                  <wp:posOffset>3990975</wp:posOffset>
                </wp:positionH>
                <wp:positionV relativeFrom="paragraph">
                  <wp:posOffset>123825</wp:posOffset>
                </wp:positionV>
                <wp:extent cx="1781175" cy="1295400"/>
                <wp:effectExtent l="15875" t="15875" r="15875" b="15875"/>
                <wp:wrapNone/>
                <wp:docPr id="1025" name="shape1025" hidden="0"/>
                <wp:cNvGraphicFramePr/>
                <a:graphic xmlns:a="http://schemas.openxmlformats.org/drawingml/2006/main">
                  <a:graphicData uri="http://schemas.microsoft.com/office/word/2010/wordprocessingShape">
                    <wps:wsp>
                      <wps:cNvSpPr>
                        <a:spLocks noChangeAspect="1"/>
                      </wps:cNvSpPr>
                      <wps:spPr>
                        <a:xfrm>
                          <a:off x="0" y="0"/>
                          <a:ext cx="1781175" cy="1295400"/>
                        </a:xfrm>
                        <a:prstGeom prst="roundRect">
                          <a:avLst xmlns="http://schemas.openxmlformats.org/drawingml/2006/main">
                            <a:gd name="adj" fmla="val 16667"/>
                          </a:avLst>
                        </a:prstGeom>
                        <a:solidFill>
                          <a:srgbClr val="ffffff"/>
                        </a:solidFill>
                        <a:ln w="31750">
                          <a:solidFill>
                            <a:srgbClr val="9bbb59"/>
                          </a:solidFill>
                        </a:ln>
                      </wps:spPr>
                      <wps:txbx>
                        <w:txbxContent>
                          <w:p>
                            <w:pPr>
                              <w:jc w:val="center"/>
                              <w:rPr>
                                <w:lang w:val="en-IN"/>
                                <w:b/>
                                <w:color w:val="0000FF"/>
                              </w:rPr>
                            </w:pPr>
                            <w:r>
                              <w:rPr>
                                <w:b/>
                                <w:noProof/>
                                <w:color w:val="0000FF"/>
                              </w:rPr>
                              <w:drawing>
                                <wp:inline distT="0" distB="0" distL="0" distR="0">
                                  <wp:extent cx="972408" cy="972408"/>
                                  <wp:effectExtent l="0" t="0" r="0" b="0"/>
                                  <wp:docPr id="1026" name="shape1026"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
                                            <a:extLst>
                                              <a:ext uri="{28A0092B-C50C-407E-A947-70E740481C1C}">
                                                <a14:useLocalDpi xmlns:a14="http://schemas.microsoft.com/office/drawing/2010/main" val="0"/>
                                              </a:ext>
                                            </a:extLst>
                                          </a:blip>
                                          <a:srcRect/>
                                          <a:stretch>
                                            <a:fillRect/>
                                          </a:stretch>
                                        </pic:blipFill>
                                        <pic:spPr>
                                          <a:xfrm>
                                            <a:off x="0" y="0"/>
                                            <a:ext cx="972408" cy="972408"/>
                                          </a:xfrm>
                                          <a:prstGeom prst="rect"/>
                                          <a:noFill/>
                                          <a:ln>
                                            <a:noFill/>
                                          </a:ln>
                                        </pic:spPr>
                                      </pic:pic>
                                    </a:graphicData>
                                  </a:graphic>
                                </wp:inline>
                              </w:drawing>
                            </w:r>
                          </w:p>
                        </w:txbxContent>
                      </wps:txbx>
                      <wps:bodyPr rot="0" vert="horz" wrap="square" lIns="91440" tIns="45720" rIns="91440" bIns="45720" anchor="t" upright="1">
                        <a:noAutofit/>
                      </wps:bodyPr>
                    </wps:wsp>
                  </a:graphicData>
                </a:graphic>
              </wp:anchor>
            </w:drawing>
          </mc:Choice>
          <mc:Fallback>
            <w:pict>
              <v:roundrect id="1025" style="position:absolute;margin-left:314.25pt;margin-top:9.75pt;width:140.25pt;height:102pt;mso-wrap-style:infront;mso-position-horizontal-relative:column;mso-position-vertical-relative:line;v-text-anchor:top;z-index:251657728" arcsize="10923f" o:allowincell="t" filled="t" fillcolor="#ffffff" stroked="t" strokecolor="#9bbb59" strokeweight="2.5pt">
                <v:textbox inset="2.5mm,1.3mm,2.5mm,1.3mm">
                  <w:txbxContent>
                    <w:p>
                      <w:pPr>
                        <w:jc w:val="center"/>
                        <w:rPr>
                          <w:lang w:val="en-IN"/>
                          <w:b/>
                          <w:color w:val="0000FF"/>
                        </w:rPr>
                      </w:pPr>
                      <w:r>
                        <w:rPr>
                          <w:b/>
                          <w:noProof/>
                          <w:color w:val="0000FF"/>
                        </w:rPr>
                        <w:drawing>
                          <wp:inline distT="0" distB="0" distL="0" distR="0">
                            <wp:extent cx="972408" cy="972408"/>
                            <wp:effectExtent l="0" t="0" r="0" b="0"/>
                            <wp:docPr id="1026" name="shape1026"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
                                      <a:extLst>
                                        <a:ext uri="{28A0092B-C50C-407E-A947-70E740481C1C}">
                                          <a14:useLocalDpi xmlns:a14="http://schemas.microsoft.com/office/drawing/2010/main" val="0"/>
                                        </a:ext>
                                      </a:extLst>
                                    </a:blip>
                                    <a:srcRect/>
                                    <a:stretch>
                                      <a:fillRect/>
                                    </a:stretch>
                                  </pic:blipFill>
                                  <pic:spPr>
                                    <a:xfrm>
                                      <a:off x="0" y="0"/>
                                      <a:ext cx="972408" cy="972408"/>
                                    </a:xfrm>
                                    <a:prstGeom prst="rect"/>
                                    <a:noFill/>
                                    <a:ln>
                                      <a:noFill/>
                                    </a:ln>
                                  </pic:spPr>
                                </pic:pic>
                              </a:graphicData>
                            </a:graphic>
                          </wp:inline>
                        </w:drawing>
                      </w:r>
                    </w:p>
                  </w:txbxContent>
                </v:textbox>
                <v:stroke joinstyle="round"/>
              </v:roundrect>
            </w:pict>
          </mc:Fallback>
        </mc:AlternateContent>
      </w:r>
      <w:r>
        <w:rPr>
          <w:rFonts w:eastAsia="MS PGothic"/>
          <w:b/>
          <w:noProof/>
          <w:color w:val="000000"/>
          <w:sz w:val="28"/>
          <w:szCs w:val="28"/>
        </w:rPr>
        <w:drawing>
          <wp:inline distT="0" distB="0" distL="0" distR="0">
            <wp:extent cx="981075" cy="1315961"/>
            <wp:effectExtent l="0" t="0" r="0" b="0"/>
            <wp:docPr id="1027" name="shape1027"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2">
                      <a:extLst>
                        <a:ext uri="{28A0092B-C50C-407E-A947-70E740481C1C}">
                          <a14:useLocalDpi xmlns:a14="http://schemas.microsoft.com/office/drawing/2010/main" val="0"/>
                        </a:ext>
                      </a:extLst>
                    </a:blip>
                    <a:srcRect/>
                    <a:stretch>
                      <a:fillRect/>
                    </a:stretch>
                  </pic:blipFill>
                  <pic:spPr>
                    <a:xfrm>
                      <a:off x="0" y="0"/>
                      <a:ext cx="981075" cy="1315961"/>
                    </a:xfrm>
                    <a:prstGeom prst="rect"/>
                    <a:noFill/>
                    <a:ln>
                      <a:noFill/>
                    </a:ln>
                  </pic:spPr>
                </pic:pic>
              </a:graphicData>
            </a:graphic>
          </wp:inline>
        </w:drawing>
      </w:r>
    </w:p>
    <w:p>
      <w:pPr>
        <w:rPr>
          <w:rFonts w:eastAsia="MS PGothic"/>
          <w:b/>
          <w:color w:val="000000"/>
          <w:sz w:val="28"/>
          <w:szCs w:val="28"/>
        </w:rPr>
      </w:pPr>
    </w:p>
    <w:p>
      <w:pPr>
        <w:rPr>
          <w:rFonts w:eastAsia="MS PGothic"/>
          <w:b/>
          <w:color w:val="000000"/>
          <w:sz w:val="28"/>
          <w:szCs w:val="28"/>
        </w:rPr>
      </w:pPr>
    </w:p>
    <w:p>
      <w:pPr>
        <w:pStyle w:val="a6"/>
        <w:wordWrap/>
        <w:jc w:val="center"/>
        <w:spacing w:line="360" w:lineRule="auto"/>
        <w:rPr>
          <w:rFonts w:ascii="Times New Roman" w:eastAsia="휴먼명조" w:hAnsi="Times New Roman" w:cs="Times New Roman" w:hint="eastAsia"/>
          <w:b/>
          <w:bCs/>
          <w:sz w:val="26"/>
          <w:szCs w:val="26"/>
        </w:rPr>
      </w:pPr>
      <w:r>
        <w:rPr>
          <w:rFonts w:ascii="Times New Roman" w:eastAsia="MS PGothic" w:hAnsi="Times New Roman" w:cs="Times New Roman"/>
          <w:b/>
          <w:sz w:val="28"/>
          <w:szCs w:val="28"/>
        </w:rPr>
        <w:t xml:space="preserve">Title: </w:t>
      </w:r>
      <w:r>
        <w:rPr>
          <w:rFonts w:ascii="Times New Roman" w:eastAsia="휴먼명조" w:hAnsi="Times New Roman" w:cs="Times New Roman"/>
          <w:b/>
          <w:bCs/>
          <w:sz w:val="26"/>
          <w:szCs w:val="26"/>
        </w:rPr>
        <w:t xml:space="preserve">A Study of Facial sEMG Measurements between left and right in Healthy Normal Adults </w:t>
      </w:r>
    </w:p>
    <w:p>
      <w:pPr>
        <w:pStyle w:val="a6"/>
        <w:wordWrap/>
        <w:jc w:val="center"/>
        <w:numPr>
          <w:ilvl w:val="0"/>
          <w:numId w:val="1"/>
        </w:numPr>
        <w:spacing w:line="360" w:lineRule="auto"/>
        <w:rPr>
          <w:rFonts w:ascii="Times New Roman" w:eastAsia="휴먼명조" w:hAnsi="Times New Roman" w:cs="Times New Roman"/>
          <w:b/>
          <w:bCs/>
          <w:sz w:val="26"/>
          <w:szCs w:val="26"/>
        </w:rPr>
      </w:pPr>
      <w:r>
        <w:rPr>
          <w:rFonts w:ascii="Times New Roman" w:eastAsia="휴먼명조" w:hAnsi="Times New Roman" w:cs="Times New Roman"/>
          <w:b/>
          <w:bCs/>
        </w:rPr>
        <w:t>F</w:t>
      </w:r>
      <w:r>
        <w:rPr>
          <w:rFonts w:ascii="Times New Roman" w:eastAsia="휴먼명조" w:hAnsi="Times New Roman" w:cs="Times New Roman" w:hint="eastAsia"/>
          <w:b/>
          <w:bCs/>
        </w:rPr>
        <w:t xml:space="preserve">ocused on </w:t>
      </w:r>
      <w:r>
        <w:rPr>
          <w:rFonts w:ascii="Times New Roman" w:eastAsia="휴먼명조" w:hAnsi="Times New Roman" w:cs="Times New Roman"/>
          <w:b/>
        </w:rPr>
        <w:t>Ratio comparing smaller value with bigger value and Asymmetry Index</w:t>
      </w:r>
    </w:p>
    <w:p>
      <w:pPr>
        <w:rPr>
          <w:rFonts w:eastAsia="MS PGothic"/>
          <w:color w:val="000000"/>
        </w:rPr>
      </w:pPr>
      <w:r>
        <w:rPr>
          <w:rFonts w:eastAsia="MS PGothic"/>
          <w:color w:val="000000"/>
        </w:rPr>
        <w:br/>
      </w:r>
      <w:r>
        <w:rPr>
          <w:b/>
          <w:sz w:val="28"/>
          <w:szCs w:val="28"/>
        </w:rPr>
        <w:t xml:space="preserve">                                            </w:t>
      </w:r>
      <w:r>
        <w:rPr>
          <w:rFonts w:eastAsia="MS PGothic"/>
          <w:color w:val="000000"/>
        </w:rPr>
        <w:t xml:space="preserve">Name: </w:t>
      </w:r>
      <w:r>
        <w:rPr>
          <w:bCs/>
        </w:rPr>
        <w:t>Tae HanYook</w:t>
      </w:r>
    </w:p>
    <w:p>
      <w:pPr>
        <w:snapToGrid w:val="0"/>
        <w:jc w:val="center"/>
        <w:rPr>
          <w:lang w:val="en-GB"/>
          <w:rFonts w:eastAsiaTheme="minorEastAsia"/>
          <w:iCs/>
          <w:color w:val="000000"/>
        </w:rPr>
      </w:pPr>
      <w:r>
        <w:rPr>
          <w:lang w:val="en-GB"/>
          <w:rFonts w:eastAsiaTheme="minorEastAsia"/>
          <w:iCs/>
          <w:color w:val="000000"/>
        </w:rPr>
        <w:t>Department of Acupuncture &amp; Moxibustion Medicine, Korean Medicine Hospital of Woosuk University</w:t>
      </w:r>
    </w:p>
    <w:p>
      <w:pPr>
        <w:jc w:val="center"/>
        <w:rPr>
          <w:lang w:val="en-GB"/>
          <w:color w:val="000000"/>
          <w:sz w:val="36"/>
          <w:szCs w:val="36"/>
        </w:rPr>
      </w:pPr>
    </w:p>
    <w:p>
      <w:pPr>
        <w:pStyle w:val="a6"/>
        <w:ind w:firstLineChars="100" w:firstLine="200"/>
        <w:spacing w:line="240" w:lineRule="auto"/>
        <w:rPr>
          <w:rFonts w:ascii="Times New Roman" w:eastAsia="휴먼명조" w:hAnsi="Times New Roman" w:cs="Times New Roman"/>
        </w:rPr>
      </w:pPr>
      <w:r>
        <w:rPr>
          <w:rFonts w:ascii="Times New Roman" w:eastAsia="휴먼명조" w:hAnsi="Times New Roman" w:cs="Times New Roman"/>
        </w:rPr>
        <w:t>This study aims to measure the facial sEMG from 20 to 60 years old in normal person and measure Ratio comparing smaller value with bigger value and Asymmetry Index, and to confirm whether there are differences according to gender, age and three sites of measurement.</w:t>
      </w:r>
    </w:p>
    <w:p>
      <w:pPr>
        <w:pStyle w:val="a6"/>
        <w:ind w:firstLineChars="100" w:firstLine="200"/>
        <w:spacing w:line="240" w:lineRule="auto"/>
        <w:rPr>
          <w:rFonts w:ascii="Times New Roman" w:hAnsi="Times New Roman" w:cs="Times New Roman"/>
        </w:rPr>
      </w:pPr>
      <w:r>
        <w:rPr>
          <w:rFonts w:ascii="Times New Roman" w:eastAsia="휴먼명조" w:hAnsi="Times New Roman" w:cs="Times New Roman"/>
        </w:rPr>
        <w:t>We measured 3points on face, frontalis muscle(GB14), zygomaticus muscle(SI18), orbicularis oris muscle(CV24) of 154 normal person by sEMG. 154 normal persons are composed of Korean male and female in 20’s to 60’s. sEMG instrument QEMG-4XL was used. After training exercise of facial muscles, sEMG's root mean square value was measured.</w:t>
      </w:r>
    </w:p>
    <w:p>
      <w:pPr>
        <w:pStyle w:val="a6"/>
        <w:ind w:firstLineChars="100" w:firstLine="200"/>
        <w:spacing w:line="240" w:lineRule="auto"/>
        <w:rPr>
          <w:rFonts w:ascii="Times New Roman" w:hAnsi="Times New Roman" w:cs="Times New Roman"/>
        </w:rPr>
      </w:pPr>
      <w:r>
        <w:rPr>
          <w:rFonts w:ascii="Times New Roman" w:eastAsia="휴먼명조" w:hAnsi="Times New Roman" w:cs="Times New Roman"/>
        </w:rPr>
        <w:t>In Ratio comparing smaller value with bigger value, the mean of the frontalis muscle was 81.70 ± 14.60%, the mean of the zygomaticus muscle was 73.74 ± 19.12%, and the average of the orbicularis oris muscle was 79.72 ± 14.77%. There was no statistically significant difference between the three sites and between men and women.</w:t>
      </w:r>
    </w:p>
    <w:p>
      <w:pPr>
        <w:pStyle w:val="a6"/>
        <w:ind w:firstLineChars="100" w:firstLine="200"/>
        <w:wordWrap/>
        <w:jc w:val="left"/>
        <w:spacing w:line="240" w:lineRule="auto"/>
        <w:rPr>
          <w:rFonts w:ascii="Times New Roman" w:hAnsi="Times New Roman" w:cs="Times New Roman"/>
        </w:rPr>
      </w:pPr>
      <w:r>
        <w:rPr>
          <w:rFonts w:ascii="Times New Roman" w:eastAsia="휴먼명조" w:hAnsi="Times New Roman" w:cs="Times New Roman"/>
        </w:rPr>
        <w:t>In</w:t>
      </w:r>
      <w:r>
        <w:rPr>
          <w:rFonts w:ascii="Times New Roman" w:eastAsia="휴먼명조" w:hAnsi="Times New Roman" w:cs="Times New Roman" w:hint="eastAsia"/>
        </w:rPr>
        <w:t xml:space="preserve"> </w:t>
      </w:r>
      <w:r>
        <w:rPr>
          <w:rFonts w:ascii="Times New Roman" w:eastAsia="휴먼명조" w:hAnsi="Times New Roman" w:cs="Times New Roman"/>
        </w:rPr>
        <w:t>Asymmetry Index, the mean of the frontalis muscle was 10.87 ± 10.14%, the mean of the zygomaticus muscle was 16.71 ± 14.79%, and the mean of the orbicularis oris muscle was 12.10 ± 10.05%. There was no statistically significant difference between the three sites and between men and women.</w:t>
      </w:r>
    </w:p>
    <w:p>
      <w:pPr>
        <w:pStyle w:val="a6"/>
        <w:ind w:firstLineChars="100" w:firstLine="200"/>
        <w:autoSpaceDE/>
        <w:widowControl/>
        <w:wordWrap/>
        <w:snapToGrid w:val="0"/>
        <w:spacing w:line="240" w:lineRule="auto"/>
        <w:rPr>
          <w:rFonts w:ascii="Times New Roman" w:hAnsi="Times New Roman" w:cs="Times New Roman"/>
        </w:rPr>
      </w:pPr>
      <w:r>
        <w:rPr>
          <w:rFonts w:ascii="Times New Roman" w:eastAsia="맑은 고딕" w:hAnsi="Times New Roman" w:cs="Times New Roman"/>
        </w:rPr>
        <w:t xml:space="preserve">As a result of analyzing </w:t>
      </w:r>
      <w:r>
        <w:rPr>
          <w:rFonts w:ascii="Times New Roman" w:eastAsia="휴먼명조" w:hAnsi="Times New Roman" w:cs="Times New Roman"/>
        </w:rPr>
        <w:t>Ratio comparing smaller value with bigger value</w:t>
      </w:r>
      <w:r>
        <w:rPr>
          <w:rFonts w:ascii="Times New Roman" w:eastAsia="맑은 고딕" w:hAnsi="Times New Roman" w:cs="Times New Roman"/>
        </w:rPr>
        <w:t xml:space="preserve"> and </w:t>
      </w:r>
      <w:r>
        <w:rPr>
          <w:rFonts w:ascii="Times New Roman" w:eastAsia="휴먼명조" w:hAnsi="Times New Roman" w:cs="Times New Roman"/>
        </w:rPr>
        <w:t>Asymmetry Index</w:t>
      </w:r>
      <w:r>
        <w:rPr>
          <w:rFonts w:ascii="Times New Roman" w:eastAsia="맑은 고딕" w:hAnsi="Times New Roman" w:cs="Times New Roman"/>
        </w:rPr>
        <w:t xml:space="preserve"> for each age from 20s to 60s, there was no statistically significant difference between the ages, and it was hard to find significant tendency for each age group.</w:t>
      </w:r>
    </w:p>
    <w:p>
      <w:pPr>
        <w:pStyle w:val="a6"/>
        <w:ind w:firstLineChars="100" w:firstLine="200"/>
        <w:spacing w:line="240" w:lineRule="auto"/>
        <w:rPr>
          <w:rFonts w:ascii="Times New Roman" w:hAnsi="Times New Roman" w:cs="Times New Roman"/>
        </w:rPr>
      </w:pPr>
      <w:r>
        <w:rPr>
          <w:rFonts w:ascii="Times New Roman" w:eastAsia="휴먼명조" w:hAnsi="Times New Roman" w:cs="Times New Roman"/>
        </w:rPr>
        <w:t>In Ratio comparing smaller value with bigger value</w:t>
      </w:r>
      <w:r>
        <w:rPr>
          <w:rFonts w:ascii="Times New Roman" w:eastAsia="맑은 고딕" w:hAnsi="Times New Roman" w:cs="Times New Roman"/>
        </w:rPr>
        <w:t xml:space="preserve"> and </w:t>
      </w:r>
      <w:r>
        <w:rPr>
          <w:rFonts w:ascii="Times New Roman" w:eastAsia="휴먼명조" w:hAnsi="Times New Roman" w:cs="Times New Roman"/>
        </w:rPr>
        <w:t>Asymmetry Index in normal person there was no difference according to gender, age and three sites of measurement.</w:t>
      </w:r>
    </w:p>
    <w:p>
      <w:pPr>
        <w:pStyle w:val="a6"/>
        <w:ind w:firstLineChars="100" w:firstLine="200"/>
        <w:autoSpaceDE/>
        <w:widowControl/>
        <w:wordWrap/>
        <w:snapToGrid w:val="0"/>
        <w:spacing w:line="240" w:lineRule="auto"/>
        <w:rPr>
          <w:rFonts w:ascii="Times New Roman" w:hAnsi="Times New Roman" w:cs="Times New Roman"/>
        </w:rPr>
      </w:pPr>
      <w:r>
        <w:rPr>
          <w:rFonts w:ascii="Times New Roman" w:eastAsia="맑은 고딕" w:hAnsi="Times New Roman" w:cs="Times New Roman"/>
        </w:rPr>
        <w:t>The results of this study are expected to be useful for diagnosis of facial diseases, evaluation of prognosis, and evaluation of recovery.</w:t>
      </w:r>
    </w:p>
    <w:p>
      <w:pPr>
        <w:jc w:val="both"/>
        <w:rPr>
          <w:color w:val="000000"/>
          <w:sz w:val="22"/>
          <w:szCs w:val="22"/>
        </w:rPr>
      </w:pPr>
    </w:p>
    <w:p>
      <w:pPr>
        <w:jc w:val="both"/>
        <w:rPr>
          <w:b/>
          <w:sz w:val="22"/>
          <w:szCs w:val="22"/>
        </w:rPr>
      </w:pPr>
      <w:r>
        <w:rPr>
          <w:b/>
          <w:sz w:val="22"/>
          <w:szCs w:val="22"/>
        </w:rPr>
        <w:t>Biography</w:t>
      </w:r>
    </w:p>
    <w:p>
      <w:pPr>
        <w:pStyle w:val="a6"/>
        <w:ind w:firstLineChars="50" w:firstLine="120"/>
        <w:spacing w:line="240" w:lineRule="auto"/>
        <w:rPr>
          <w:rFonts w:ascii="Times New Roman" w:hAnsi="Times New Roman" w:cs="Times New Roman"/>
        </w:rPr>
      </w:pPr>
      <w:r>
        <w:rPr>
          <w:rFonts w:ascii="Times New Roman" w:eastAsia="바탕" w:hAnsi="Times New Roman" w:cs="Times New Roman"/>
          <w:sz w:val="24"/>
          <w:szCs w:val="24"/>
        </w:rPr>
        <w:t xml:space="preserve">Tae HanYook </w:t>
      </w:r>
      <w:r>
        <w:rPr>
          <w:rFonts w:ascii="Times New Roman" w:eastAsia="함초롬바탕" w:hAnsi="Times New Roman" w:cs="Times New Roman"/>
        </w:rPr>
        <w:t xml:space="preserve">Graduated from Daegu Haany University College of Oriental Medicine at 1991. </w:t>
      </w:r>
      <w:r>
        <w:rPr>
          <w:rFonts w:ascii="Times New Roman" w:eastAsia="함초롬바탕" w:hAnsi="Times New Roman" w:cs="Times New Roman" w:hint="eastAsia"/>
        </w:rPr>
        <w:t>H</w:t>
      </w:r>
      <w:r>
        <w:rPr>
          <w:rFonts w:ascii="Times New Roman" w:eastAsia="함초롬바탕" w:hAnsi="Times New Roman" w:cs="Times New Roman"/>
        </w:rPr>
        <w:t>e</w:t>
      </w:r>
      <w:r>
        <w:rPr>
          <w:rFonts w:ascii="Times New Roman" w:eastAsia="바탕" w:hAnsi="Times New Roman" w:cs="Times New Roman"/>
          <w:sz w:val="22"/>
          <w:szCs w:val="22"/>
        </w:rPr>
        <w:t xml:space="preserve"> has completed his PhD at 2000 from </w:t>
      </w:r>
      <w:r>
        <w:rPr>
          <w:rFonts w:ascii="Times New Roman" w:eastAsia="함초롬바탕" w:hAnsi="Times New Roman" w:cs="Times New Roman"/>
        </w:rPr>
        <w:t>Daegu Haany University.</w:t>
      </w:r>
    </w:p>
    <w:p>
      <w:pPr>
        <w:pStyle w:val="a6"/>
        <w:ind w:firstLineChars="50" w:firstLine="97"/>
        <w:spacing w:after="80" w:line="240" w:lineRule="auto"/>
        <w:rPr>
          <w:rFonts w:ascii="Times New Roman" w:hAnsi="Times New Roman" w:cs="Times New Roman"/>
        </w:rPr>
      </w:pPr>
      <w:r>
        <w:rPr>
          <w:rFonts w:ascii="Times New Roman" w:eastAsia="함초롬바탕" w:hAnsi="Times New Roman" w:cs="Times New Roman"/>
        </w:rPr>
        <w:t xml:space="preserve">Since 1995, he has been working as a professor at Woosuk University College of traditional korean Medicine. </w:t>
      </w:r>
      <w:r>
        <w:rPr>
          <w:rFonts w:ascii="Times New Roman" w:eastAsia="바탕" w:hAnsi="Times New Roman" w:cs="Times New Roman"/>
          <w:sz w:val="22"/>
          <w:szCs w:val="22"/>
        </w:rPr>
        <w:t>He has published more than 15 papers in reputed journals.</w:t>
      </w:r>
    </w:p>
    <w:p/>
    <w:p>
      <w:pPr>
        <w:jc w:val="both"/>
        <w:rPr>
          <w:b/>
        </w:rPr>
      </w:pPr>
      <w:r>
        <w:rPr>
          <w:b/>
        </w:rPr>
        <w:t xml:space="preserve">Presenting author details </w:t>
      </w:r>
    </w:p>
    <w:p>
      <w:pPr>
        <w:jc w:val="both"/>
        <w:rPr>
          <w:lang w:val="en-GB"/>
        </w:rPr>
      </w:pPr>
      <w:r>
        <w:t xml:space="preserve">Full name: </w:t>
      </w:r>
      <w:r>
        <w:rPr>
          <w:bCs/>
        </w:rPr>
        <w:t>Tae HanYook</w:t>
      </w:r>
    </w:p>
    <w:p>
      <w:pPr>
        <w:jc w:val="both"/>
      </w:pPr>
      <w:r>
        <w:t>Contact number: 82-10-6797-6004</w:t>
      </w:r>
    </w:p>
    <w:p>
      <w:pPr>
        <w:jc w:val="both"/>
      </w:pPr>
      <w:r>
        <w:t xml:space="preserve">Twitter account: </w:t>
      </w:r>
      <w:r>
        <w:rPr>
          <w:rFonts w:hint="eastAsia"/>
        </w:rPr>
        <w:t xml:space="preserve">(E-mail) </w:t>
      </w:r>
      <w:r>
        <w:t>nasiss@naver.com</w:t>
      </w:r>
    </w:p>
    <w:p>
      <w:pPr>
        <w:jc w:val="both"/>
      </w:pPr>
      <w:r>
        <w:t>Linked In account:</w:t>
      </w:r>
    </w:p>
    <w:p>
      <w:pPr>
        <w:jc w:val="both"/>
      </w:pPr>
      <w:r>
        <w:t>Session name/ number:</w:t>
      </w:r>
    </w:p>
    <w:p>
      <w:pPr>
        <w:jc w:val="both"/>
      </w:pPr>
      <w:r>
        <w:t xml:space="preserve">Category: (Oral presentation/ </w:t>
      </w:r>
      <w:r>
        <w:rPr>
          <w:b/>
          <w:u w:val="single" w:color="auto"/>
        </w:rPr>
        <w:t>Poster presentation</w:t>
      </w:r>
      <w:r>
        <w: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MS PGothic">
    <w:panose1 w:val="020B0600070205080204"/>
    <w:family w:val="swiss"/>
    <w:charset w:val="80"/>
    <w:notTrueType w:val="true"/>
    <w:sig w:usb0="E00002FF" w:usb1="6AC7FDFB" w:usb2="08000012" w:usb3="00000001" w:csb0="4002009F" w:csb1="DFD70000"/>
  </w:font>
  <w:font w:name="Times New Roman">
    <w:panose1 w:val="02020603050405020304"/>
    <w:family w:val="roman"/>
    <w:charset w:val="00"/>
    <w:notTrueType w:val="true"/>
    <w:sig w:usb0="E0002EFF" w:usb1="C0007843" w:usb2="00000009" w:usb3="00000001" w:csb0="400001FF" w:csb1="FFFF0000"/>
  </w:font>
  <w:font w:name="휴먼명조">
    <w:panose1 w:val="02010504000101010101"/>
    <w:family w:val="auto"/>
    <w:charset w:val="81"/>
    <w:notTrueType w:val="true"/>
    <w:sig w:usb0="800002A7" w:usb1="11D77CFB" w:usb2="00000010" w:usb3="00000001" w:csb0="00080000" w:csb1="00000001"/>
  </w:font>
  <w:font w:name="맑은 고딕">
    <w:panose1 w:val="020B0503020000020004"/>
    <w:family w:val="modern"/>
    <w:charset w:val="81"/>
    <w:notTrueType w:val="true"/>
    <w:sig w:usb0="9000002F" w:usb1="29D77CFB" w:usb2="00000012" w:usb3="00000001" w:csb0="00080001" w:csb1="00000001"/>
  </w:font>
  <w:font w:name="바탕">
    <w:panose1 w:val="02030600000101010101"/>
    <w:family w:val="roman"/>
    <w:charset w:val="81"/>
    <w:notTrueType w:val="true"/>
    <w:sig w:usb0="B00002AF" w:usb1="69D77CFB" w:usb2="00000030" w:usb3="00000001" w:csb0="4008009F" w:csb1="DFD70000"/>
  </w:font>
  <w:font w:name="함초롬바탕">
    <w:panose1 w:val="02030604000101010101"/>
    <w:family w:val="roman"/>
    <w:charset w:val="81"/>
    <w:notTrueType w:val="true"/>
    <w:sig w:usb0="F70006FF" w:usb1="19DFFFFF" w:usb2="001BFDD7" w:usb3="00000001" w:csb0="001F01FF" w:csb1="00000001"/>
  </w:font>
  <w:font w:name="Wingdings">
    <w:panose1 w:val="05000000000000000000"/>
    <w:family w:val="auto"/>
    <w:charset w:val="02"/>
    <w:notTrueType w:val="true"/>
    <w:sig w:usb0="00000001" w:usb1="00000001" w:usb2="00000001" w:usb3="00000001" w:csb0="80000000" w:csb1="00000001"/>
  </w:font>
  <w:font w:name="Calibri">
    <w:panose1 w:val="020F0502020204030204"/>
    <w:family w:val="swiss"/>
    <w:charset w:val="00"/>
    <w:notTrueType w:val="true"/>
    <w:sig w:usb0="E00002FF" w:usb1="4000ACFF" w:usb2="00000001" w:usb3="00000001" w:csb0="2000019F" w:csb1="00000001"/>
  </w:font>
  <w:font w:name="굴림">
    <w:panose1 w:val="020B0600000101010101"/>
    <w:family w:val="modern"/>
    <w:charset w:val="81"/>
    <w:notTrueType w:val="true"/>
    <w:sig w:usb0="B00002AF" w:usb1="69D77CFB" w:usb2="00000030" w:usb3="00000001" w:csb0="4008009F" w:csb1="DFD7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1865017c"/>
    <w:multiLevelType w:val="hybridMultilevel"/>
    <w:tmpl w:val="b4c45100"/>
    <w:lvl w:ilvl="0" w:tplc="99641862">
      <w:numFmt w:val="bullet"/>
      <w:lvlText w:val="-"/>
      <w:lvlJc w:val="left"/>
      <w:pPr>
        <w:ind w:left="760" w:hanging="360"/>
      </w:pPr>
      <w:rPr>
        <w:rFonts w:ascii="Times New Roman" w:eastAsia="휴먼명조"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20"/>
  <w:drawingGridHorizontalSpacing w:val="1000"/>
  <w:drawingGridVerticalSpacing w:val="1000"/>
  <w:displayHorizontalDrawingGridEvery w:val="1"/>
  <w:displayVerticalDrawingGridEvery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en-US" w:bidi="ar-SA"/>
        <w:rFonts w:ascii="Calibri" w:eastAsiaTheme="minorEastAsia" w:hAnsi="Calibri" w:cs="Times New Roman"/>
      </w:rPr>
      <w:rPr>
        <w:rFonts w:ascii="Calibri" w:eastAsiaTheme="minorEastAsia" w:hAnsi="Calibri" w:cs="Times New Roman"/>
      </w:rPr>
    </w:rPrDefault>
    <w:pPrDefault>
      <w:pPr/>
    </w:pPrDefault>
  </w:docDefaults>
  <w:style w:type="paragraph" w:default="1" w:styleId="a">
    <w:name w:val="Normal"/>
    <w:qFormat/>
    <w:rPr>
      <w:lang w:eastAsia="ko-KR"/>
      <w:rFonts w:ascii="Times New Roman" w:eastAsia="바탕" w:hAnsi="Times New Roman"/>
      <w:sz w:val="24"/>
      <w:szCs w:val="24"/>
    </w:rPr>
  </w:style>
  <w:style w:type="character" w:default="1" w:styleId="a0">
    <w:name w:val="Default Paragraph Font"/>
    <w:semiHidden/>
    <w:unhideWhenUsed/>
  </w:style>
  <w:style w:type="table" w:default="1" w:styleId="a1">
    <w:name w:val="Normal Table"/>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a6">
    <w:name w:val="바탕글"/>
    <w:basedOn w:val="a"/>
    <w:pPr>
      <w:autoSpaceDE w:val="off"/>
      <w:autoSpaceDN w:val="off"/>
      <w:widowControl w:val="off"/>
      <w:wordWrap w:val="off"/>
      <w:jc w:val="both"/>
      <w:spacing w:line="384" w:lineRule="auto"/>
      <w:textAlignment w:val="baseline"/>
    </w:pPr>
    <w:rPr>
      <w:rFonts w:ascii="굴림" w:eastAsia="굴림" w:hAnsi="굴림" w:cs="굴림"/>
      <w:color w:val="00000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jpeg"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fontTable" Target="fontTable.xml" /><Relationship Id="rId6" Type="http://schemas.openxmlformats.org/officeDocument/2006/relationships/webSettings" Target="webSettings.xml" /><Relationship Id="rId7" Type="http://schemas.openxmlformats.org/officeDocument/2006/relationships/numbering" Target="numbering.xml" /><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Company>Microsoft</Company>
  <SharedDoc>false</SharedDoc>
  <HyperlinksChanged>false</HyperlinksChanged>
  <AppVersion>0900.0000.01</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Nazia</dc:creator>
  <cp:keywords/>
  <dc:description/>
  <cp:lastModifiedBy>의국</cp:lastModifiedBy>
  <cp:revision>1</cp:revision>
  <dcterms:created xsi:type="dcterms:W3CDTF">2017-09-29T14:07:00Z</dcterms:created>
  <dcterms:modified xsi:type="dcterms:W3CDTF">2017-09-30T00:27:05Z</dcterms:modified>
</cp:coreProperties>
</file>