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B3B" w:rsidRPr="00B95788" w:rsidRDefault="00B70B3B" w:rsidP="00B70B3B">
      <w:pPr>
        <w:spacing w:line="480" w:lineRule="auto"/>
        <w:jc w:val="both"/>
        <w:rPr>
          <w:rFonts w:ascii="Arial" w:hAnsi="Arial" w:cs="Arial"/>
          <w:iCs/>
          <w:sz w:val="24"/>
          <w:szCs w:val="24"/>
          <w:lang w:val="en-US"/>
        </w:rPr>
      </w:pPr>
      <w:r w:rsidRPr="003862AF">
        <w:rPr>
          <w:rFonts w:ascii="Arial" w:hAnsi="Arial" w:cs="Arial"/>
          <w:iCs/>
          <w:sz w:val="24"/>
          <w:szCs w:val="24"/>
          <w:lang w:val="en-US"/>
        </w:rPr>
        <w:t xml:space="preserve">Introduction: Wilson's disease is characterized by accumulation of copper in liver, brain and cornea. It is an </w:t>
      </w:r>
      <w:proofErr w:type="spellStart"/>
      <w:r w:rsidRPr="003862AF">
        <w:rPr>
          <w:rFonts w:ascii="Arial" w:hAnsi="Arial" w:cs="Arial"/>
          <w:iCs/>
          <w:sz w:val="24"/>
          <w:szCs w:val="24"/>
          <w:lang w:val="en-US"/>
        </w:rPr>
        <w:t>autosomal</w:t>
      </w:r>
      <w:proofErr w:type="spellEnd"/>
      <w:r w:rsidRPr="003862AF">
        <w:rPr>
          <w:rFonts w:ascii="Arial" w:hAnsi="Arial" w:cs="Arial"/>
          <w:iCs/>
          <w:sz w:val="24"/>
          <w:szCs w:val="24"/>
          <w:lang w:val="en-US"/>
        </w:rPr>
        <w:t xml:space="preserve"> recessive inherited disorder of copper metabolism. </w:t>
      </w:r>
      <w:r w:rsidRPr="003862AF">
        <w:rPr>
          <w:rFonts w:ascii="Arial" w:hAnsi="Arial" w:cs="Arial"/>
          <w:sz w:val="24"/>
          <w:szCs w:val="24"/>
          <w:lang/>
        </w:rPr>
        <w:t>The clinical and molecular diagnosis is</w:t>
      </w:r>
      <w:r>
        <w:rPr>
          <w:rFonts w:ascii="Arial" w:hAnsi="Arial" w:cs="Arial"/>
          <w:sz w:val="24"/>
          <w:szCs w:val="24"/>
          <w:lang/>
        </w:rPr>
        <w:t xml:space="preserve"> very</w:t>
      </w:r>
      <w:r w:rsidRPr="003862AF">
        <w:rPr>
          <w:rFonts w:ascii="Arial" w:hAnsi="Arial" w:cs="Arial"/>
          <w:sz w:val="24"/>
          <w:szCs w:val="24"/>
          <w:lang/>
        </w:rPr>
        <w:t xml:space="preserve"> complex.</w:t>
      </w:r>
      <w:r w:rsidRPr="003862AF">
        <w:rPr>
          <w:rFonts w:ascii="Arial" w:hAnsi="Arial" w:cs="Arial"/>
          <w:iCs/>
          <w:sz w:val="24"/>
          <w:szCs w:val="24"/>
          <w:lang w:val="en-US"/>
        </w:rPr>
        <w:t xml:space="preserve">The molecular causes are mutations in the atp7b gene. </w:t>
      </w:r>
      <w:r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Pr="003862AF">
        <w:rPr>
          <w:rFonts w:ascii="Arial" w:hAnsi="Arial" w:cs="Arial"/>
          <w:iCs/>
          <w:sz w:val="24"/>
          <w:szCs w:val="24"/>
          <w:lang w:val="en-US"/>
        </w:rPr>
        <w:t>Methods: a descriptive study including 15</w:t>
      </w:r>
      <w:r>
        <w:rPr>
          <w:rFonts w:ascii="Arial" w:hAnsi="Arial" w:cs="Arial"/>
          <w:iCs/>
          <w:sz w:val="24"/>
          <w:szCs w:val="24"/>
          <w:lang w:val="en-US"/>
        </w:rPr>
        <w:t xml:space="preserve"> C</w:t>
      </w:r>
      <w:r w:rsidRPr="003862AF">
        <w:rPr>
          <w:rFonts w:ascii="Arial" w:hAnsi="Arial" w:cs="Arial"/>
          <w:iCs/>
          <w:sz w:val="24"/>
          <w:szCs w:val="24"/>
          <w:lang w:val="en-US"/>
        </w:rPr>
        <w:t xml:space="preserve">uban patients with clinical and molecular diagnosis of Wilson's disease was conducted at the National Center </w:t>
      </w:r>
      <w:r>
        <w:rPr>
          <w:rFonts w:ascii="Arial" w:hAnsi="Arial" w:cs="Arial"/>
          <w:iCs/>
          <w:sz w:val="24"/>
          <w:szCs w:val="24"/>
          <w:lang w:val="en-US"/>
        </w:rPr>
        <w:t xml:space="preserve">of </w:t>
      </w:r>
      <w:r w:rsidRPr="003862AF">
        <w:rPr>
          <w:rFonts w:ascii="Arial" w:hAnsi="Arial" w:cs="Arial"/>
          <w:iCs/>
          <w:sz w:val="24"/>
          <w:szCs w:val="24"/>
          <w:lang w:val="en-US"/>
        </w:rPr>
        <w:t xml:space="preserve">Medical Genetics and </w:t>
      </w:r>
      <w:r w:rsidRPr="003862AF">
        <w:rPr>
          <w:rFonts w:ascii="Arial" w:hAnsi="Arial" w:cs="Arial"/>
          <w:sz w:val="24"/>
          <w:szCs w:val="24"/>
          <w:lang/>
        </w:rPr>
        <w:t xml:space="preserve">National Institute of Gastroenterology </w:t>
      </w:r>
      <w:r w:rsidRPr="003862AF">
        <w:rPr>
          <w:rFonts w:ascii="Arial" w:hAnsi="Arial" w:cs="Arial"/>
          <w:iCs/>
          <w:sz w:val="24"/>
          <w:szCs w:val="24"/>
          <w:lang w:val="en-US"/>
        </w:rPr>
        <w:t xml:space="preserve">from 2007 to 2010. The polymerase chain reaction was used to amplify the fragment of interest and the single-strand conformation polymorphism. The </w:t>
      </w:r>
      <w:r w:rsidRPr="003862AF">
        <w:rPr>
          <w:rFonts w:ascii="Arial" w:hAnsi="Arial" w:cs="Arial"/>
          <w:sz w:val="24"/>
          <w:szCs w:val="24"/>
          <w:lang/>
        </w:rPr>
        <w:t xml:space="preserve">detection of mutations was by sequencing. </w:t>
      </w:r>
      <w:r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Pr="003862AF">
        <w:rPr>
          <w:rFonts w:ascii="Arial" w:hAnsi="Arial" w:cs="Arial"/>
          <w:sz w:val="24"/>
          <w:szCs w:val="24"/>
          <w:lang/>
        </w:rPr>
        <w:t xml:space="preserve">Results: The 15 </w:t>
      </w:r>
      <w:r>
        <w:rPr>
          <w:rFonts w:ascii="Arial" w:hAnsi="Arial" w:cs="Arial"/>
          <w:sz w:val="24"/>
          <w:szCs w:val="24"/>
          <w:lang/>
        </w:rPr>
        <w:t>C</w:t>
      </w:r>
      <w:r w:rsidRPr="003862AF">
        <w:rPr>
          <w:rFonts w:ascii="Arial" w:hAnsi="Arial" w:cs="Arial"/>
          <w:sz w:val="24"/>
          <w:szCs w:val="24"/>
          <w:lang/>
        </w:rPr>
        <w:t>uban patients were studied clinically</w:t>
      </w:r>
      <w:r w:rsidRPr="00B95788">
        <w:rPr>
          <w:rFonts w:ascii="Arial" w:hAnsi="Arial" w:cs="Arial"/>
          <w:sz w:val="24"/>
          <w:szCs w:val="24"/>
          <w:lang/>
        </w:rPr>
        <w:t xml:space="preserve"> diagnosed. They were identified:  </w:t>
      </w:r>
      <w:r>
        <w:rPr>
          <w:rFonts w:ascii="Arial" w:hAnsi="Arial" w:cs="Arial"/>
          <w:sz w:val="24"/>
          <w:szCs w:val="24"/>
          <w:lang/>
        </w:rPr>
        <w:t>14 patients (93,</w:t>
      </w:r>
      <w:r w:rsidRPr="00B95788">
        <w:rPr>
          <w:rFonts w:ascii="Arial" w:hAnsi="Arial" w:cs="Arial"/>
          <w:sz w:val="24"/>
          <w:szCs w:val="24"/>
          <w:lang/>
        </w:rPr>
        <w:t xml:space="preserve">3%) with </w:t>
      </w:r>
      <w:proofErr w:type="spellStart"/>
      <w:r w:rsidRPr="00B95788">
        <w:rPr>
          <w:rFonts w:ascii="Arial" w:hAnsi="Arial" w:cs="Arial"/>
          <w:sz w:val="24"/>
          <w:szCs w:val="24"/>
          <w:lang/>
        </w:rPr>
        <w:t>ce</w:t>
      </w:r>
      <w:r>
        <w:rPr>
          <w:rFonts w:ascii="Arial" w:hAnsi="Arial" w:cs="Arial"/>
          <w:sz w:val="24"/>
          <w:szCs w:val="24"/>
          <w:lang/>
        </w:rPr>
        <w:t>ruloplasmin</w:t>
      </w:r>
      <w:proofErr w:type="spellEnd"/>
      <w:r>
        <w:rPr>
          <w:rFonts w:ascii="Arial" w:hAnsi="Arial" w:cs="Arial"/>
          <w:sz w:val="24"/>
          <w:szCs w:val="24"/>
          <w:lang/>
        </w:rPr>
        <w:t xml:space="preserve"> values ​​&lt;20 mg / </w:t>
      </w:r>
      <w:proofErr w:type="spellStart"/>
      <w:r>
        <w:rPr>
          <w:rFonts w:ascii="Arial" w:hAnsi="Arial" w:cs="Arial"/>
          <w:sz w:val="24"/>
          <w:szCs w:val="24"/>
          <w:lang/>
        </w:rPr>
        <w:t>dL</w:t>
      </w:r>
      <w:proofErr w:type="spellEnd"/>
      <w:r w:rsidRPr="00B95788">
        <w:rPr>
          <w:rFonts w:ascii="Arial" w:hAnsi="Arial" w:cs="Arial"/>
          <w:sz w:val="24"/>
          <w:szCs w:val="24"/>
          <w:lang/>
        </w:rPr>
        <w:t xml:space="preserve">, 12 patients (80%) with copper levels &gt; 25 </w:t>
      </w:r>
      <w:proofErr w:type="spellStart"/>
      <w:r w:rsidRPr="00B95788">
        <w:rPr>
          <w:rFonts w:ascii="Arial" w:hAnsi="Arial" w:cs="Arial"/>
          <w:sz w:val="24"/>
          <w:szCs w:val="24"/>
          <w:lang/>
        </w:rPr>
        <w:t>ug</w:t>
      </w:r>
      <w:proofErr w:type="spellEnd"/>
      <w:r w:rsidRPr="00B95788">
        <w:rPr>
          <w:rFonts w:ascii="Arial" w:hAnsi="Arial" w:cs="Arial"/>
          <w:sz w:val="24"/>
          <w:szCs w:val="24"/>
          <w:lang/>
        </w:rPr>
        <w:t xml:space="preserve"> / </w:t>
      </w:r>
      <w:proofErr w:type="spellStart"/>
      <w:r>
        <w:rPr>
          <w:rFonts w:ascii="Arial" w:hAnsi="Arial" w:cs="Arial"/>
          <w:sz w:val="24"/>
          <w:szCs w:val="24"/>
          <w:lang/>
        </w:rPr>
        <w:t>dL</w:t>
      </w:r>
      <w:proofErr w:type="spellEnd"/>
      <w:r>
        <w:rPr>
          <w:rFonts w:ascii="Arial" w:hAnsi="Arial" w:cs="Arial"/>
          <w:sz w:val="24"/>
          <w:szCs w:val="24"/>
          <w:lang/>
        </w:rPr>
        <w:t>, 13 patients (86,</w:t>
      </w:r>
      <w:r w:rsidRPr="00B95788">
        <w:rPr>
          <w:rFonts w:ascii="Arial" w:hAnsi="Arial" w:cs="Arial"/>
          <w:sz w:val="24"/>
          <w:szCs w:val="24"/>
          <w:lang/>
        </w:rPr>
        <w:t xml:space="preserve">7%) with copper greater than 100 </w:t>
      </w:r>
      <w:r>
        <w:rPr>
          <w:rFonts w:ascii="Arial" w:hAnsi="Arial" w:cs="Arial"/>
          <w:sz w:val="24"/>
          <w:szCs w:val="24"/>
          <w:lang/>
        </w:rPr>
        <w:t>mg / 24h and eight patients (53,</w:t>
      </w:r>
      <w:r w:rsidRPr="00B95788">
        <w:rPr>
          <w:rFonts w:ascii="Arial" w:hAnsi="Arial" w:cs="Arial"/>
          <w:sz w:val="24"/>
          <w:szCs w:val="24"/>
          <w:lang/>
        </w:rPr>
        <w:t>3%) were detected with urine copper greater than 250 mg / g and three patients presented KF rings. The mutations were identified: a patient with 1718-G&gt; A (</w:t>
      </w:r>
      <w:proofErr w:type="spellStart"/>
      <w:r w:rsidRPr="00B95788">
        <w:rPr>
          <w:rFonts w:ascii="Arial" w:hAnsi="Arial" w:cs="Arial"/>
          <w:sz w:val="24"/>
          <w:szCs w:val="24"/>
          <w:lang/>
        </w:rPr>
        <w:t>intron</w:t>
      </w:r>
      <w:proofErr w:type="spellEnd"/>
      <w:r w:rsidRPr="00B95788">
        <w:rPr>
          <w:rFonts w:ascii="Arial" w:hAnsi="Arial" w:cs="Arial"/>
          <w:sz w:val="24"/>
          <w:szCs w:val="24"/>
          <w:lang/>
        </w:rPr>
        <w:t xml:space="preserve"> 5) and a patient with G626A (</w:t>
      </w:r>
      <w:proofErr w:type="spellStart"/>
      <w:r w:rsidRPr="00B95788">
        <w:rPr>
          <w:rFonts w:ascii="Arial" w:hAnsi="Arial" w:cs="Arial"/>
          <w:sz w:val="24"/>
          <w:szCs w:val="24"/>
          <w:lang/>
        </w:rPr>
        <w:t>exon</w:t>
      </w:r>
      <w:proofErr w:type="spellEnd"/>
      <w:r w:rsidRPr="00B95788">
        <w:rPr>
          <w:rFonts w:ascii="Arial" w:hAnsi="Arial" w:cs="Arial"/>
          <w:sz w:val="24"/>
          <w:szCs w:val="24"/>
          <w:lang/>
        </w:rPr>
        <w:t xml:space="preserve"> 6) and L708P (</w:t>
      </w:r>
      <w:proofErr w:type="spellStart"/>
      <w:r w:rsidRPr="00B95788">
        <w:rPr>
          <w:rFonts w:ascii="Arial" w:hAnsi="Arial" w:cs="Arial"/>
          <w:sz w:val="24"/>
          <w:szCs w:val="24"/>
          <w:lang/>
        </w:rPr>
        <w:t>exon</w:t>
      </w:r>
      <w:proofErr w:type="spellEnd"/>
      <w:r w:rsidRPr="00B95788">
        <w:rPr>
          <w:rFonts w:ascii="Arial" w:hAnsi="Arial" w:cs="Arial"/>
          <w:sz w:val="24"/>
          <w:szCs w:val="24"/>
          <w:lang/>
        </w:rPr>
        <w:t xml:space="preserve"> 8) and three patie</w:t>
      </w:r>
      <w:r>
        <w:rPr>
          <w:rFonts w:ascii="Arial" w:hAnsi="Arial" w:cs="Arial"/>
          <w:sz w:val="24"/>
          <w:szCs w:val="24"/>
          <w:lang/>
        </w:rPr>
        <w:t xml:space="preserve">nts with H1069Q by sequencing. </w:t>
      </w:r>
      <w:r w:rsidRPr="00B95788">
        <w:rPr>
          <w:rFonts w:ascii="Arial" w:hAnsi="Arial" w:cs="Arial"/>
          <w:sz w:val="24"/>
          <w:szCs w:val="24"/>
          <w:lang/>
        </w:rPr>
        <w:t>Conclusions: The mutations responsible for the disease were</w:t>
      </w:r>
      <w:r>
        <w:rPr>
          <w:rFonts w:ascii="Arial" w:hAnsi="Arial" w:cs="Arial"/>
          <w:sz w:val="24"/>
          <w:szCs w:val="24"/>
          <w:lang/>
        </w:rPr>
        <w:t xml:space="preserve"> detected in 33</w:t>
      </w:r>
      <w:proofErr w:type="gramStart"/>
      <w:r>
        <w:rPr>
          <w:rFonts w:ascii="Arial" w:hAnsi="Arial" w:cs="Arial"/>
          <w:sz w:val="24"/>
          <w:szCs w:val="24"/>
          <w:lang/>
        </w:rPr>
        <w:t>,3</w:t>
      </w:r>
      <w:proofErr w:type="gramEnd"/>
      <w:r>
        <w:rPr>
          <w:rFonts w:ascii="Arial" w:hAnsi="Arial" w:cs="Arial"/>
          <w:sz w:val="24"/>
          <w:szCs w:val="24"/>
          <w:lang/>
        </w:rPr>
        <w:t>% of C</w:t>
      </w:r>
      <w:r w:rsidRPr="00B95788">
        <w:rPr>
          <w:rFonts w:ascii="Arial" w:hAnsi="Arial" w:cs="Arial"/>
          <w:sz w:val="24"/>
          <w:szCs w:val="24"/>
          <w:lang/>
        </w:rPr>
        <w:t>uban patients with Wilson's disease.</w:t>
      </w:r>
    </w:p>
    <w:p w:rsidR="00C2684D" w:rsidRPr="00B70B3B" w:rsidRDefault="00C2684D">
      <w:pPr>
        <w:rPr>
          <w:lang w:val="en-US"/>
        </w:rPr>
      </w:pPr>
    </w:p>
    <w:sectPr w:rsidR="00C2684D" w:rsidRPr="00B70B3B" w:rsidSect="00C268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0B3B"/>
    <w:rsid w:val="00B70B3B"/>
    <w:rsid w:val="00C26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B3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yuliacf</dc:creator>
  <cp:lastModifiedBy>yuliacf</cp:lastModifiedBy>
  <cp:revision>1</cp:revision>
  <dcterms:created xsi:type="dcterms:W3CDTF">2016-07-12T15:44:00Z</dcterms:created>
  <dcterms:modified xsi:type="dcterms:W3CDTF">2016-07-12T15:46:00Z</dcterms:modified>
</cp:coreProperties>
</file>