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48" w:rsidRDefault="00DE5A48" w:rsidP="00DE5A48">
      <w:pPr>
        <w:pStyle w:val="Default"/>
      </w:pPr>
    </w:p>
    <w:p w:rsidR="00DE5A48" w:rsidRDefault="00DE5A48" w:rsidP="00DE5A4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Study of Hepatitis B Vaccine Escape mutation In </w:t>
      </w:r>
      <w:proofErr w:type="spellStart"/>
      <w:r>
        <w:rPr>
          <w:b/>
          <w:bCs/>
          <w:color w:val="auto"/>
          <w:sz w:val="28"/>
          <w:szCs w:val="28"/>
        </w:rPr>
        <w:t>Golestan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Provience</w:t>
      </w:r>
      <w:proofErr w:type="spellEnd"/>
      <w:r>
        <w:rPr>
          <w:b/>
          <w:bCs/>
          <w:color w:val="auto"/>
          <w:sz w:val="28"/>
          <w:szCs w:val="28"/>
        </w:rPr>
        <w:t xml:space="preserve">- Iran </w:t>
      </w:r>
    </w:p>
    <w:p w:rsidR="00DE5A48" w:rsidRDefault="00DE5A48" w:rsidP="0022214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Sareh Zhand</w:t>
      </w:r>
      <w:r w:rsidR="00477669" w:rsidRPr="00477669">
        <w:rPr>
          <w:color w:val="auto"/>
          <w:sz w:val="22"/>
          <w:szCs w:val="22"/>
          <w:vertAlign w:val="superscript"/>
        </w:rPr>
        <w:t>1</w:t>
      </w:r>
      <w:r w:rsidRPr="00222149">
        <w:rPr>
          <w:color w:val="auto"/>
          <w:sz w:val="22"/>
          <w:szCs w:val="22"/>
        </w:rPr>
        <w:t xml:space="preserve">; </w:t>
      </w:r>
      <w:proofErr w:type="spellStart"/>
      <w:r w:rsidRPr="00222149">
        <w:rPr>
          <w:color w:val="auto"/>
          <w:sz w:val="22"/>
          <w:szCs w:val="22"/>
        </w:rPr>
        <w:t>Ghassem</w:t>
      </w:r>
      <w:proofErr w:type="spellEnd"/>
      <w:r w:rsidRPr="00222149">
        <w:rPr>
          <w:color w:val="auto"/>
          <w:sz w:val="22"/>
          <w:szCs w:val="22"/>
        </w:rPr>
        <w:t xml:space="preserve"> Rostamian</w:t>
      </w:r>
      <w:r w:rsidR="00477669" w:rsidRPr="00477669">
        <w:rPr>
          <w:color w:val="auto"/>
          <w:sz w:val="22"/>
          <w:szCs w:val="22"/>
          <w:vertAlign w:val="superscript"/>
        </w:rPr>
        <w:t>2</w:t>
      </w:r>
      <w:r w:rsidRPr="00222149">
        <w:rPr>
          <w:color w:val="auto"/>
          <w:sz w:val="22"/>
          <w:szCs w:val="22"/>
        </w:rPr>
        <w:t xml:space="preserve">; </w:t>
      </w:r>
      <w:proofErr w:type="spellStart"/>
      <w:r>
        <w:rPr>
          <w:color w:val="auto"/>
          <w:sz w:val="22"/>
          <w:szCs w:val="22"/>
        </w:rPr>
        <w:t>Alijan</w:t>
      </w:r>
      <w:proofErr w:type="spellEnd"/>
      <w:r>
        <w:rPr>
          <w:color w:val="auto"/>
          <w:sz w:val="22"/>
          <w:szCs w:val="22"/>
        </w:rPr>
        <w:t xml:space="preserve"> Tabarraei</w:t>
      </w:r>
      <w:r w:rsidR="00477669" w:rsidRPr="00477669">
        <w:rPr>
          <w:color w:val="auto"/>
          <w:sz w:val="22"/>
          <w:szCs w:val="22"/>
          <w:vertAlign w:val="superscript"/>
        </w:rPr>
        <w:t>1</w:t>
      </w:r>
      <w:r w:rsidRPr="00222149">
        <w:rPr>
          <w:color w:val="auto"/>
          <w:sz w:val="22"/>
          <w:szCs w:val="22"/>
        </w:rPr>
        <w:t xml:space="preserve">; </w:t>
      </w:r>
      <w:proofErr w:type="spellStart"/>
      <w:r>
        <w:rPr>
          <w:color w:val="auto"/>
          <w:sz w:val="22"/>
          <w:szCs w:val="22"/>
        </w:rPr>
        <w:t>Masoud</w:t>
      </w:r>
      <w:proofErr w:type="spellEnd"/>
      <w:r>
        <w:rPr>
          <w:color w:val="auto"/>
          <w:sz w:val="22"/>
          <w:szCs w:val="22"/>
        </w:rPr>
        <w:t xml:space="preserve"> Bazouri</w:t>
      </w:r>
      <w:r w:rsidR="00477669" w:rsidRPr="00477669">
        <w:rPr>
          <w:color w:val="auto"/>
          <w:sz w:val="22"/>
          <w:szCs w:val="22"/>
          <w:vertAlign w:val="superscript"/>
        </w:rPr>
        <w:t>1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proofErr w:type="spellStart"/>
      <w:r w:rsidRPr="00477669">
        <w:rPr>
          <w:color w:val="auto"/>
          <w:sz w:val="22"/>
          <w:szCs w:val="22"/>
          <w:u w:val="single"/>
        </w:rPr>
        <w:t>Abdolvahab</w:t>
      </w:r>
      <w:proofErr w:type="spellEnd"/>
      <w:r w:rsidRPr="00477669">
        <w:rPr>
          <w:color w:val="auto"/>
          <w:sz w:val="22"/>
          <w:szCs w:val="22"/>
          <w:u w:val="single"/>
        </w:rPr>
        <w:t xml:space="preserve"> Moradi</w:t>
      </w:r>
      <w:r w:rsidR="00477669" w:rsidRPr="00477669">
        <w:rPr>
          <w:color w:val="auto"/>
          <w:sz w:val="22"/>
          <w:szCs w:val="22"/>
          <w:u w:val="single"/>
          <w:vertAlign w:val="superscript"/>
        </w:rPr>
        <w:t>1</w:t>
      </w:r>
    </w:p>
    <w:p w:rsidR="00222149" w:rsidRDefault="00222149" w:rsidP="00222149">
      <w:pPr>
        <w:pStyle w:val="Default"/>
      </w:pPr>
    </w:p>
    <w:p w:rsidR="00222149" w:rsidRDefault="00477669" w:rsidP="00222149">
      <w:pPr>
        <w:pStyle w:val="Default"/>
        <w:rPr>
          <w:i/>
          <w:iCs/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1. </w:t>
      </w:r>
      <w:r w:rsidR="00222149">
        <w:rPr>
          <w:i/>
          <w:iCs/>
          <w:color w:val="auto"/>
          <w:sz w:val="20"/>
          <w:szCs w:val="20"/>
        </w:rPr>
        <w:t xml:space="preserve">Department of Microbiology, School of Medicine, </w:t>
      </w:r>
      <w:proofErr w:type="spellStart"/>
      <w:r w:rsidR="00222149">
        <w:rPr>
          <w:i/>
          <w:iCs/>
          <w:color w:val="auto"/>
          <w:sz w:val="20"/>
          <w:szCs w:val="20"/>
        </w:rPr>
        <w:t>Golestan</w:t>
      </w:r>
      <w:proofErr w:type="spellEnd"/>
      <w:r w:rsidR="00222149">
        <w:rPr>
          <w:i/>
          <w:iCs/>
          <w:color w:val="auto"/>
          <w:sz w:val="20"/>
          <w:szCs w:val="20"/>
        </w:rPr>
        <w:t xml:space="preserve"> University of Medical Sciences, </w:t>
      </w:r>
      <w:proofErr w:type="spellStart"/>
      <w:r w:rsidR="00222149">
        <w:rPr>
          <w:i/>
          <w:iCs/>
          <w:color w:val="auto"/>
          <w:sz w:val="20"/>
          <w:szCs w:val="20"/>
        </w:rPr>
        <w:t>Gorgan</w:t>
      </w:r>
      <w:proofErr w:type="spellEnd"/>
      <w:r w:rsidR="00222149">
        <w:rPr>
          <w:i/>
          <w:iCs/>
          <w:color w:val="auto"/>
          <w:sz w:val="20"/>
          <w:szCs w:val="20"/>
        </w:rPr>
        <w:t>, Iran</w:t>
      </w:r>
    </w:p>
    <w:p w:rsidR="00222149" w:rsidRPr="00222149" w:rsidRDefault="00477669" w:rsidP="00222149">
      <w:pPr>
        <w:pStyle w:val="Default"/>
        <w:rPr>
          <w:i/>
          <w:iCs/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2. </w:t>
      </w:r>
      <w:r w:rsidR="00222149">
        <w:rPr>
          <w:i/>
          <w:iCs/>
          <w:color w:val="auto"/>
          <w:sz w:val="20"/>
          <w:szCs w:val="20"/>
        </w:rPr>
        <w:t>Department of Medicine, School of Medicine,</w:t>
      </w:r>
      <w:r w:rsidR="00222149" w:rsidRPr="00222149">
        <w:rPr>
          <w:i/>
          <w:iCs/>
          <w:color w:val="auto"/>
          <w:sz w:val="20"/>
          <w:szCs w:val="20"/>
        </w:rPr>
        <w:t xml:space="preserve"> Iran University of medical sciences</w:t>
      </w:r>
      <w:r w:rsidR="00222149">
        <w:rPr>
          <w:i/>
          <w:iCs/>
          <w:color w:val="auto"/>
          <w:sz w:val="20"/>
          <w:szCs w:val="20"/>
        </w:rPr>
        <w:t>,</w:t>
      </w:r>
      <w:r w:rsidR="00222149" w:rsidRPr="00222149">
        <w:rPr>
          <w:i/>
          <w:iCs/>
          <w:color w:val="auto"/>
          <w:sz w:val="20"/>
          <w:szCs w:val="20"/>
        </w:rPr>
        <w:t xml:space="preserve"> </w:t>
      </w:r>
      <w:r w:rsidR="00222149">
        <w:rPr>
          <w:i/>
          <w:iCs/>
          <w:color w:val="auto"/>
          <w:sz w:val="20"/>
          <w:szCs w:val="20"/>
        </w:rPr>
        <w:t>T</w:t>
      </w:r>
      <w:r w:rsidR="00222149" w:rsidRPr="00222149">
        <w:rPr>
          <w:i/>
          <w:iCs/>
          <w:color w:val="auto"/>
          <w:sz w:val="20"/>
          <w:szCs w:val="20"/>
        </w:rPr>
        <w:t>ehran</w:t>
      </w:r>
      <w:r w:rsidR="00222149">
        <w:rPr>
          <w:i/>
          <w:iCs/>
          <w:color w:val="auto"/>
          <w:sz w:val="20"/>
          <w:szCs w:val="20"/>
        </w:rPr>
        <w:t>,</w:t>
      </w:r>
      <w:r w:rsidR="00222149" w:rsidRPr="00222149">
        <w:rPr>
          <w:i/>
          <w:iCs/>
          <w:color w:val="auto"/>
          <w:sz w:val="20"/>
          <w:szCs w:val="20"/>
        </w:rPr>
        <w:t xml:space="preserve"> Iran</w:t>
      </w:r>
    </w:p>
    <w:p w:rsidR="00DE5A48" w:rsidRPr="00222149" w:rsidRDefault="00DE5A48" w:rsidP="00DE5A48">
      <w:pPr>
        <w:pStyle w:val="Default"/>
        <w:rPr>
          <w:i/>
          <w:iCs/>
          <w:color w:val="auto"/>
          <w:sz w:val="20"/>
          <w:szCs w:val="20"/>
        </w:rPr>
      </w:pPr>
    </w:p>
    <w:p w:rsidR="00DE5A48" w:rsidRPr="00222149" w:rsidRDefault="00DE5A48" w:rsidP="0022214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40DD">
        <w:rPr>
          <w:rFonts w:asciiTheme="majorBidi" w:hAnsiTheme="majorBidi" w:cstheme="majorBidi"/>
          <w:b/>
          <w:bCs/>
          <w:sz w:val="24"/>
          <w:szCs w:val="24"/>
        </w:rPr>
        <w:t xml:space="preserve">Background &amp; Objectives: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Hepatitis B (HBV) is one of the most common infectious diseases, which may lead to chronic liver disease, cirrhosis, and </w:t>
      </w:r>
      <w:proofErr w:type="spellStart"/>
      <w:r w:rsidRPr="003C40DD">
        <w:rPr>
          <w:rFonts w:asciiTheme="majorBidi" w:hAnsiTheme="majorBidi" w:cstheme="majorBidi"/>
          <w:color w:val="000000"/>
          <w:sz w:val="24"/>
          <w:szCs w:val="24"/>
        </w:rPr>
        <w:t>hepatocellular</w:t>
      </w:r>
      <w:proofErr w:type="spellEnd"/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carcinoma.</w:t>
      </w:r>
      <w:r w:rsidR="00D02E9D" w:rsidRPr="00D02E9D">
        <w:rPr>
          <w:rFonts w:asciiTheme="majorBidi" w:hAnsiTheme="majorBidi" w:cstheme="majorBidi"/>
          <w:color w:val="000000"/>
          <w:sz w:val="24"/>
          <w:szCs w:val="24"/>
        </w:rPr>
        <w:t xml:space="preserve"> The </w:t>
      </w:r>
      <w:proofErr w:type="spellStart"/>
      <w:r w:rsidR="00D02E9D" w:rsidRPr="00D02E9D">
        <w:rPr>
          <w:rFonts w:asciiTheme="majorBidi" w:hAnsiTheme="majorBidi" w:cstheme="majorBidi"/>
          <w:color w:val="000000"/>
          <w:sz w:val="24"/>
          <w:szCs w:val="24"/>
        </w:rPr>
        <w:t>HBsAg</w:t>
      </w:r>
      <w:proofErr w:type="spellEnd"/>
      <w:r w:rsidR="00D02E9D" w:rsidRPr="00D02E9D">
        <w:rPr>
          <w:rFonts w:asciiTheme="majorBidi" w:hAnsiTheme="majorBidi" w:cstheme="majorBidi"/>
          <w:color w:val="000000"/>
          <w:sz w:val="24"/>
          <w:szCs w:val="24"/>
        </w:rPr>
        <w:t xml:space="preserve"> ‘‘a’’ determinant (amino acids 124–147) is located within the</w:t>
      </w:r>
      <w:r w:rsidR="00D02E9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02E9D" w:rsidRPr="00D02E9D">
        <w:rPr>
          <w:rFonts w:asciiTheme="majorBidi" w:hAnsiTheme="majorBidi" w:cstheme="majorBidi"/>
          <w:color w:val="000000"/>
          <w:sz w:val="24"/>
          <w:szCs w:val="24"/>
        </w:rPr>
        <w:t>major hydrophilic region (MHR amino acids 99–169) of this surface protein</w:t>
      </w:r>
      <w:r w:rsidR="00D02E9D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Amino acid substitutions within the ‘‘a’’ determinant of </w:t>
      </w:r>
      <w:proofErr w:type="spellStart"/>
      <w:r w:rsidRPr="003C40DD">
        <w:rPr>
          <w:rFonts w:asciiTheme="majorBidi" w:hAnsiTheme="majorBidi" w:cstheme="majorBidi"/>
          <w:color w:val="000000"/>
          <w:sz w:val="24"/>
          <w:szCs w:val="24"/>
        </w:rPr>
        <w:t>HBsAg</w:t>
      </w:r>
      <w:proofErr w:type="spellEnd"/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can lead to conformational alterations that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may affect the binding of neutralizing antibodies. The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 xml:space="preserve">most important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described escape mutation 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is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 xml:space="preserve">known as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G145R. Iran is considered as a country with low </w:t>
      </w:r>
      <w:proofErr w:type="spellStart"/>
      <w:r w:rsidRPr="003C40DD">
        <w:rPr>
          <w:rFonts w:asciiTheme="majorBidi" w:hAnsiTheme="majorBidi" w:cstheme="majorBidi"/>
          <w:color w:val="000000"/>
          <w:sz w:val="24"/>
          <w:szCs w:val="24"/>
        </w:rPr>
        <w:t>endemicity</w:t>
      </w:r>
      <w:proofErr w:type="spellEnd"/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of chronic HBV 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>infection;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however,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the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prevalence of HBV infection in </w:t>
      </w:r>
      <w:proofErr w:type="spellStart"/>
      <w:r w:rsidRPr="003C40DD">
        <w:rPr>
          <w:rFonts w:asciiTheme="majorBidi" w:hAnsiTheme="majorBidi" w:cstheme="majorBidi"/>
          <w:color w:val="000000"/>
          <w:sz w:val="24"/>
          <w:szCs w:val="24"/>
        </w:rPr>
        <w:t>Golestan</w:t>
      </w:r>
      <w:proofErr w:type="spellEnd"/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Province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is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about 8.9% in comparison with other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provinces of Iran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(3%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>).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This study aimed to investigate 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Hepatitis B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v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accine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e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scape mutation </w:t>
      </w:r>
      <w:r w:rsidR="003C40DD">
        <w:rPr>
          <w:rFonts w:asciiTheme="majorBidi" w:hAnsiTheme="majorBidi" w:cstheme="majorBidi"/>
          <w:color w:val="000000"/>
          <w:sz w:val="24"/>
          <w:szCs w:val="24"/>
        </w:rPr>
        <w:t>i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n </w:t>
      </w:r>
      <w:r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patients infected by this virus in </w:t>
      </w:r>
      <w:proofErr w:type="spellStart"/>
      <w:r w:rsidRPr="00222149">
        <w:rPr>
          <w:rFonts w:asciiTheme="majorBidi" w:hAnsiTheme="majorBidi" w:cstheme="majorBidi"/>
          <w:sz w:val="24"/>
          <w:szCs w:val="24"/>
        </w:rPr>
        <w:t>Golestan</w:t>
      </w:r>
      <w:proofErr w:type="spellEnd"/>
      <w:r w:rsidRPr="00222149">
        <w:rPr>
          <w:rFonts w:asciiTheme="majorBidi" w:hAnsiTheme="majorBidi" w:cstheme="majorBidi"/>
          <w:sz w:val="24"/>
          <w:szCs w:val="24"/>
        </w:rPr>
        <w:t xml:space="preserve"> Province-Iran. </w:t>
      </w:r>
    </w:p>
    <w:p w:rsidR="00DE5A48" w:rsidRPr="003C40DD" w:rsidRDefault="00DE5A48" w:rsidP="0047766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22149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222149">
        <w:rPr>
          <w:rFonts w:asciiTheme="majorBidi" w:hAnsiTheme="majorBidi" w:cstheme="majorBidi"/>
          <w:sz w:val="24"/>
          <w:szCs w:val="24"/>
        </w:rPr>
        <w:t xml:space="preserve"> HBV-DNA </w:t>
      </w:r>
      <w:r w:rsidR="00222149" w:rsidRPr="00222149">
        <w:rPr>
          <w:rFonts w:asciiTheme="majorBidi" w:hAnsiTheme="majorBidi" w:cstheme="majorBidi"/>
          <w:sz w:val="24"/>
          <w:szCs w:val="24"/>
        </w:rPr>
        <w:t xml:space="preserve">was </w:t>
      </w:r>
      <w:r w:rsidRPr="00222149">
        <w:rPr>
          <w:rFonts w:asciiTheme="majorBidi" w:hAnsiTheme="majorBidi" w:cstheme="majorBidi"/>
          <w:sz w:val="24"/>
          <w:szCs w:val="24"/>
        </w:rPr>
        <w:t>extract</w:t>
      </w:r>
      <w:r w:rsidR="00222149" w:rsidRPr="00222149">
        <w:rPr>
          <w:rFonts w:asciiTheme="majorBidi" w:hAnsiTheme="majorBidi" w:cstheme="majorBidi"/>
          <w:sz w:val="24"/>
          <w:szCs w:val="24"/>
        </w:rPr>
        <w:t>ed</w:t>
      </w:r>
      <w:r w:rsidRPr="00222149">
        <w:rPr>
          <w:rFonts w:asciiTheme="majorBidi" w:hAnsiTheme="majorBidi" w:cstheme="majorBidi"/>
          <w:sz w:val="24"/>
          <w:szCs w:val="24"/>
        </w:rPr>
        <w:t xml:space="preserve"> from</w:t>
      </w:r>
      <w:r w:rsidRPr="003C40DD">
        <w:rPr>
          <w:rFonts w:asciiTheme="majorBidi" w:hAnsiTheme="majorBidi" w:cstheme="majorBidi"/>
          <w:sz w:val="24"/>
          <w:szCs w:val="24"/>
        </w:rPr>
        <w:t xml:space="preserve"> plasma of 100 </w:t>
      </w:r>
      <w:r w:rsidR="00222149">
        <w:rPr>
          <w:rFonts w:asciiTheme="majorBidi" w:hAnsiTheme="majorBidi" w:cstheme="majorBidi"/>
          <w:sz w:val="24"/>
          <w:szCs w:val="24"/>
        </w:rPr>
        <w:t xml:space="preserve">HBV chronic </w:t>
      </w:r>
      <w:r w:rsidRPr="003C40DD">
        <w:rPr>
          <w:rFonts w:asciiTheme="majorBidi" w:hAnsiTheme="majorBidi" w:cstheme="majorBidi"/>
          <w:sz w:val="24"/>
          <w:szCs w:val="24"/>
        </w:rPr>
        <w:t>patients</w:t>
      </w:r>
      <w:r w:rsidR="00222149">
        <w:rPr>
          <w:rFonts w:asciiTheme="majorBidi" w:hAnsiTheme="majorBidi" w:cstheme="majorBidi"/>
          <w:sz w:val="24"/>
          <w:szCs w:val="24"/>
        </w:rPr>
        <w:t xml:space="preserve"> and PCR</w:t>
      </w:r>
      <w:r w:rsidRPr="003C40DD">
        <w:rPr>
          <w:rFonts w:asciiTheme="majorBidi" w:hAnsiTheme="majorBidi" w:cstheme="majorBidi"/>
          <w:sz w:val="24"/>
          <w:szCs w:val="24"/>
        </w:rPr>
        <w:t xml:space="preserve"> w</w:t>
      </w:r>
      <w:r w:rsidR="00477669">
        <w:rPr>
          <w:rFonts w:asciiTheme="majorBidi" w:hAnsiTheme="majorBidi" w:cstheme="majorBidi"/>
          <w:sz w:val="24"/>
          <w:szCs w:val="24"/>
        </w:rPr>
        <w:t>as</w:t>
      </w:r>
      <w:r w:rsidRPr="003C40DD">
        <w:rPr>
          <w:rFonts w:asciiTheme="majorBidi" w:hAnsiTheme="majorBidi" w:cstheme="majorBidi"/>
          <w:sz w:val="24"/>
          <w:szCs w:val="24"/>
        </w:rPr>
        <w:t xml:space="preserve"> performed</w:t>
      </w:r>
      <w:r w:rsidR="00222149">
        <w:rPr>
          <w:rFonts w:asciiTheme="majorBidi" w:hAnsiTheme="majorBidi" w:cstheme="majorBidi"/>
          <w:sz w:val="24"/>
          <w:szCs w:val="24"/>
        </w:rPr>
        <w:t xml:space="preserve"> using s</w:t>
      </w:r>
      <w:r w:rsidR="00222149" w:rsidRPr="00222149">
        <w:rPr>
          <w:rFonts w:asciiTheme="majorBidi" w:hAnsiTheme="majorBidi" w:cstheme="majorBidi"/>
          <w:sz w:val="24"/>
          <w:szCs w:val="24"/>
        </w:rPr>
        <w:t>uitable primers to amplify first loop of ‘‘a’’ determinant</w:t>
      </w:r>
      <w:r w:rsidRPr="003C40DD">
        <w:rPr>
          <w:rFonts w:asciiTheme="majorBidi" w:hAnsiTheme="majorBidi" w:cstheme="majorBidi"/>
          <w:sz w:val="24"/>
          <w:szCs w:val="24"/>
        </w:rPr>
        <w:t>. Direct sequencing and alignment were applied using reference sequence from Gene Bank database.</w:t>
      </w:r>
      <w:r w:rsidR="00222149">
        <w:rPr>
          <w:rFonts w:asciiTheme="majorBidi" w:hAnsiTheme="majorBidi" w:cstheme="majorBidi"/>
          <w:sz w:val="24"/>
          <w:szCs w:val="24"/>
        </w:rPr>
        <w:t xml:space="preserve"> The resulting sequence is submitted to Gene Bank Database.</w:t>
      </w:r>
      <w:r w:rsidRPr="003C40DD">
        <w:rPr>
          <w:rFonts w:asciiTheme="majorBidi" w:hAnsiTheme="majorBidi" w:cstheme="majorBidi"/>
          <w:sz w:val="24"/>
          <w:szCs w:val="24"/>
        </w:rPr>
        <w:t xml:space="preserve"> </w:t>
      </w:r>
    </w:p>
    <w:p w:rsidR="003C40DD" w:rsidRPr="003C40DD" w:rsidRDefault="00DE5A48" w:rsidP="0022214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22149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222149">
        <w:rPr>
          <w:rFonts w:asciiTheme="majorBidi" w:hAnsiTheme="majorBidi" w:cstheme="majorBidi"/>
          <w:sz w:val="24"/>
          <w:szCs w:val="24"/>
        </w:rPr>
        <w:t xml:space="preserve"> </w:t>
      </w:r>
      <w:r w:rsidR="00222149">
        <w:rPr>
          <w:rFonts w:asciiTheme="majorBidi" w:hAnsiTheme="majorBidi" w:cstheme="majorBidi"/>
          <w:sz w:val="24"/>
          <w:szCs w:val="24"/>
        </w:rPr>
        <w:t>O</w:t>
      </w:r>
      <w:r w:rsidRPr="003C40DD">
        <w:rPr>
          <w:rFonts w:asciiTheme="majorBidi" w:hAnsiTheme="majorBidi" w:cstheme="majorBidi"/>
          <w:sz w:val="24"/>
          <w:szCs w:val="24"/>
        </w:rPr>
        <w:t xml:space="preserve">ur findings revealed </w:t>
      </w:r>
      <w:r w:rsidR="00D02E9D">
        <w:rPr>
          <w:rFonts w:asciiTheme="majorBidi" w:hAnsiTheme="majorBidi" w:cstheme="majorBidi"/>
          <w:sz w:val="24"/>
          <w:szCs w:val="24"/>
        </w:rPr>
        <w:t>o</w:t>
      </w:r>
      <w:r w:rsidRPr="003C40DD">
        <w:rPr>
          <w:rFonts w:asciiTheme="majorBidi" w:hAnsiTheme="majorBidi" w:cstheme="majorBidi"/>
          <w:sz w:val="24"/>
          <w:szCs w:val="24"/>
        </w:rPr>
        <w:t>f 100 patients, 73 (73%) of them showed point mutations in</w:t>
      </w:r>
      <w:r w:rsidR="00D02E9D">
        <w:rPr>
          <w:rFonts w:asciiTheme="majorBidi" w:hAnsiTheme="majorBidi" w:cstheme="majorBidi"/>
          <w:sz w:val="24"/>
          <w:szCs w:val="24"/>
        </w:rPr>
        <w:t xml:space="preserve"> </w:t>
      </w:r>
      <w:r w:rsidRPr="003C40DD">
        <w:rPr>
          <w:rFonts w:asciiTheme="majorBidi" w:hAnsiTheme="majorBidi" w:cstheme="majorBidi"/>
          <w:sz w:val="24"/>
          <w:szCs w:val="24"/>
        </w:rPr>
        <w:t>the region from nucleotide 143–582 that codes amino acids</w:t>
      </w:r>
      <w:r w:rsidR="003C40DD" w:rsidRPr="003C40DD">
        <w:rPr>
          <w:rFonts w:asciiTheme="majorBidi" w:hAnsiTheme="majorBidi" w:cstheme="majorBidi"/>
          <w:sz w:val="24"/>
          <w:szCs w:val="24"/>
        </w:rPr>
        <w:t xml:space="preserve"> </w:t>
      </w:r>
      <w:r w:rsidRPr="003C40DD">
        <w:rPr>
          <w:rFonts w:asciiTheme="majorBidi" w:hAnsiTheme="majorBidi" w:cstheme="majorBidi"/>
          <w:sz w:val="24"/>
          <w:szCs w:val="24"/>
        </w:rPr>
        <w:t xml:space="preserve">47–194. </w:t>
      </w:r>
      <w:proofErr w:type="spellStart"/>
      <w:r w:rsidR="003C40DD" w:rsidRPr="00222149">
        <w:rPr>
          <w:rFonts w:asciiTheme="majorBidi" w:hAnsiTheme="majorBidi" w:cstheme="majorBidi"/>
          <w:sz w:val="24"/>
          <w:szCs w:val="24"/>
        </w:rPr>
        <w:t>HBsAg</w:t>
      </w:r>
      <w:proofErr w:type="spellEnd"/>
      <w:r w:rsidR="003C40DD" w:rsidRPr="00222149">
        <w:rPr>
          <w:rFonts w:asciiTheme="majorBidi" w:hAnsiTheme="majorBidi" w:cstheme="majorBidi"/>
          <w:sz w:val="24"/>
          <w:szCs w:val="24"/>
        </w:rPr>
        <w:t xml:space="preserve"> MHR region possessed 14% of whole</w:t>
      </w:r>
      <w:r w:rsidR="00D02E9D" w:rsidRPr="00222149">
        <w:rPr>
          <w:rFonts w:asciiTheme="majorBidi" w:hAnsiTheme="majorBidi" w:cstheme="majorBidi"/>
          <w:sz w:val="24"/>
          <w:szCs w:val="24"/>
        </w:rPr>
        <w:t xml:space="preserve"> </w:t>
      </w:r>
      <w:r w:rsidR="003C40DD" w:rsidRPr="00222149">
        <w:rPr>
          <w:rFonts w:asciiTheme="majorBidi" w:hAnsiTheme="majorBidi" w:cstheme="majorBidi"/>
          <w:sz w:val="24"/>
          <w:szCs w:val="24"/>
        </w:rPr>
        <w:t>mutations. 5 of 40 mutations (12.5%) was occurred in ‘‘a’’ determinant</w:t>
      </w:r>
      <w:r w:rsidR="00D02E9D" w:rsidRPr="00222149">
        <w:rPr>
          <w:rFonts w:asciiTheme="majorBidi" w:hAnsiTheme="majorBidi" w:cstheme="majorBidi"/>
          <w:sz w:val="24"/>
          <w:szCs w:val="24"/>
        </w:rPr>
        <w:t xml:space="preserve">. </w:t>
      </w:r>
      <w:r w:rsidR="003C40DD" w:rsidRPr="00222149">
        <w:rPr>
          <w:rFonts w:asciiTheme="majorBidi" w:hAnsiTheme="majorBidi" w:cstheme="majorBidi"/>
          <w:sz w:val="24"/>
          <w:szCs w:val="24"/>
        </w:rPr>
        <w:t>The amino acid substitution G145R, which is associated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 xml:space="preserve"> with vaccine escape, was identified in one </w:t>
      </w:r>
      <w:r w:rsidR="00222149" w:rsidRPr="003C40DD">
        <w:rPr>
          <w:rFonts w:asciiTheme="majorBidi" w:hAnsiTheme="majorBidi" w:cstheme="majorBidi"/>
          <w:color w:val="000000"/>
          <w:sz w:val="24"/>
          <w:szCs w:val="24"/>
        </w:rPr>
        <w:t>isolate (</w:t>
      </w:r>
      <w:r w:rsidR="003C40DD" w:rsidRPr="003C40DD">
        <w:rPr>
          <w:rFonts w:asciiTheme="majorBidi" w:hAnsiTheme="majorBidi" w:cstheme="majorBidi"/>
          <w:color w:val="000000"/>
          <w:sz w:val="24"/>
          <w:szCs w:val="24"/>
        </w:rPr>
        <w:t>1%).</w:t>
      </w:r>
      <w:r w:rsidR="00D02E9D" w:rsidRPr="00D02E9D">
        <w:rPr>
          <w:rFonts w:ascii="AdvPTimes" w:hAnsi="AdvPTimes" w:cs="AdvPTimes"/>
          <w:sz w:val="20"/>
          <w:szCs w:val="20"/>
        </w:rPr>
        <w:t xml:space="preserve"> </w:t>
      </w:r>
    </w:p>
    <w:p w:rsidR="00DE5A48" w:rsidRDefault="00DE5A48" w:rsidP="0022214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40DD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="003C40DD" w:rsidRPr="003C40DD">
        <w:rPr>
          <w:rFonts w:asciiTheme="majorBidi" w:hAnsiTheme="majorBidi" w:cstheme="majorBidi"/>
          <w:sz w:val="24"/>
          <w:szCs w:val="24"/>
        </w:rPr>
        <w:t>Our results demonstrate that mutation in 145</w:t>
      </w:r>
      <w:r w:rsidR="003C40DD" w:rsidRPr="00D02E9D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3C40DD" w:rsidRPr="003C40DD">
        <w:rPr>
          <w:rFonts w:asciiTheme="majorBidi" w:hAnsiTheme="majorBidi" w:cstheme="majorBidi"/>
          <w:sz w:val="24"/>
          <w:szCs w:val="24"/>
        </w:rPr>
        <w:t xml:space="preserve"> amino acid of S gene in genotype D of HBV is reported for the first time in Iran. </w:t>
      </w:r>
    </w:p>
    <w:p w:rsidR="00222149" w:rsidRPr="003C40DD" w:rsidRDefault="00222149" w:rsidP="0022214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4371B" w:rsidRPr="003C40DD" w:rsidRDefault="00DE5A48" w:rsidP="00222149">
      <w:pPr>
        <w:jc w:val="both"/>
        <w:rPr>
          <w:rFonts w:asciiTheme="majorBidi" w:hAnsiTheme="majorBidi" w:cstheme="majorBidi"/>
          <w:sz w:val="24"/>
          <w:szCs w:val="24"/>
        </w:rPr>
      </w:pPr>
      <w:r w:rsidRPr="003C40DD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3C40DD">
        <w:rPr>
          <w:rFonts w:asciiTheme="majorBidi" w:hAnsiTheme="majorBidi" w:cstheme="majorBidi"/>
          <w:sz w:val="24"/>
          <w:szCs w:val="24"/>
        </w:rPr>
        <w:t xml:space="preserve">HBV; S Gene; Mutation; </w:t>
      </w:r>
      <w:proofErr w:type="spellStart"/>
      <w:r w:rsidRPr="003C40DD">
        <w:rPr>
          <w:rFonts w:asciiTheme="majorBidi" w:hAnsiTheme="majorBidi" w:cstheme="majorBidi"/>
          <w:sz w:val="24"/>
          <w:szCs w:val="24"/>
        </w:rPr>
        <w:t>Golestan</w:t>
      </w:r>
      <w:proofErr w:type="spellEnd"/>
      <w:r w:rsidRPr="003C40DD">
        <w:rPr>
          <w:rFonts w:asciiTheme="majorBidi" w:hAnsiTheme="majorBidi" w:cstheme="majorBidi"/>
          <w:sz w:val="24"/>
          <w:szCs w:val="24"/>
        </w:rPr>
        <w:t>, Iran</w:t>
      </w:r>
    </w:p>
    <w:sectPr w:rsidR="0024371B" w:rsidRPr="003C40DD" w:rsidSect="00243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E5A48"/>
    <w:rsid w:val="00222149"/>
    <w:rsid w:val="0024371B"/>
    <w:rsid w:val="003C40DD"/>
    <w:rsid w:val="00477669"/>
    <w:rsid w:val="00CC6718"/>
    <w:rsid w:val="00D02E9D"/>
    <w:rsid w:val="00DE5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5A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Zhand</dc:creator>
  <cp:lastModifiedBy>Zhand</cp:lastModifiedBy>
  <cp:revision>2</cp:revision>
  <dcterms:created xsi:type="dcterms:W3CDTF">2016-06-11T09:22:00Z</dcterms:created>
  <dcterms:modified xsi:type="dcterms:W3CDTF">2016-06-11T10:07:00Z</dcterms:modified>
</cp:coreProperties>
</file>