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E16" w:rsidRDefault="00513E16" w:rsidP="00513E16">
      <w:pPr>
        <w:pStyle w:val="Heading1"/>
      </w:pPr>
      <w:r w:rsidRPr="00513E16">
        <w:rPr>
          <w:lang w:val="en-ZA"/>
        </w:rPr>
        <w:t>Evaluation of an innovative new method for quantitation of plasma cells on CD138 immunohistochemistry.</w:t>
      </w:r>
      <w:r w:rsidRPr="00513E16">
        <w:t> </w:t>
      </w:r>
    </w:p>
    <w:p w:rsidR="00513E16" w:rsidRDefault="00891043" w:rsidP="00513E16">
      <w:pPr>
        <w:pStyle w:val="BodyText"/>
        <w:rPr>
          <w:rFonts w:ascii="Segoe UI" w:eastAsia="Times New Roman" w:hAnsi="Segoe UI" w:cs="Segoe UI"/>
        </w:rPr>
      </w:pPr>
      <w:r>
        <w:rPr>
          <w:rStyle w:val="normaltextrun"/>
          <w:sz w:val="22"/>
          <w:szCs w:val="22"/>
          <w:lang w:val="en-ZA"/>
        </w:rPr>
        <w:t>Gantana E.J</w:t>
      </w:r>
      <w:r w:rsidR="00513E16">
        <w:rPr>
          <w:rStyle w:val="normaltextrun"/>
          <w:sz w:val="22"/>
          <w:szCs w:val="22"/>
          <w:lang w:val="en-ZA"/>
        </w:rPr>
        <w:t>, Mashigo N, Abdullah I, Musekwa E.M, Lohlun R.K, Nell E, Chetty C, Ntobongwana M, Chapanduka Z.C.</w:t>
      </w:r>
      <w:r w:rsidR="00513E16">
        <w:rPr>
          <w:rStyle w:val="eop"/>
          <w:sz w:val="22"/>
          <w:szCs w:val="22"/>
        </w:rPr>
        <w:t> </w:t>
      </w:r>
    </w:p>
    <w:p w:rsidR="00513E16" w:rsidRDefault="00513E16" w:rsidP="00513E16">
      <w:pPr>
        <w:pStyle w:val="BodyText"/>
        <w:rPr>
          <w:rStyle w:val="normaltextrun"/>
          <w:sz w:val="22"/>
          <w:szCs w:val="22"/>
          <w:lang w:val="en-ZA"/>
        </w:rPr>
      </w:pPr>
    </w:p>
    <w:p w:rsidR="00513E16" w:rsidRPr="00513E16" w:rsidRDefault="00513E16" w:rsidP="00513E16">
      <w:pPr>
        <w:pStyle w:val="BodyText"/>
        <w:rPr>
          <w:rFonts w:ascii="Segoe UI" w:hAnsi="Segoe UI" w:cs="Segoe UI"/>
          <w:sz w:val="22"/>
          <w:szCs w:val="22"/>
        </w:rPr>
      </w:pPr>
      <w:r w:rsidRPr="00513E16">
        <w:rPr>
          <w:rStyle w:val="normaltextrun"/>
          <w:sz w:val="22"/>
          <w:szCs w:val="22"/>
          <w:lang w:val="en-ZA"/>
        </w:rPr>
        <w:t>Division of Haematological Pathology, National Health Laboratory Services Tygerberg Hospital, Faculty of Medicine and Health Sciences, University of Stellenbosch, Cape Town, South Africa.</w:t>
      </w:r>
      <w:r w:rsidRPr="00513E16">
        <w:rPr>
          <w:rStyle w:val="eop"/>
          <w:sz w:val="22"/>
          <w:szCs w:val="22"/>
        </w:rPr>
        <w:t> </w:t>
      </w:r>
    </w:p>
    <w:p w:rsidR="00AE3E37" w:rsidRPr="00513E16" w:rsidRDefault="00AE3E37">
      <w:pPr>
        <w:pStyle w:val="BodyText"/>
        <w:rPr>
          <w:rFonts w:ascii="Arial"/>
          <w:sz w:val="22"/>
          <w:szCs w:val="22"/>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45510E" w:rsidRDefault="0045510E" w:rsidP="0045510E">
      <w:pPr>
        <w:pStyle w:val="Heading3"/>
        <w:rPr>
          <w:rFonts w:ascii="Tw Cen MT" w:hAnsi="Tw Cen MT"/>
          <w:sz w:val="18"/>
          <w:szCs w:val="18"/>
          <w:lang w:val="en-ZA"/>
        </w:rPr>
      </w:pPr>
      <w:r w:rsidRPr="0045510E">
        <w:rPr>
          <w:rFonts w:ascii="Tw Cen MT" w:hAnsi="Tw Cen MT"/>
          <w:sz w:val="18"/>
          <w:szCs w:val="18"/>
          <w:lang w:val="en-ZA"/>
        </w:rPr>
        <w:t>Aim</w:t>
      </w:r>
      <w:r>
        <w:rPr>
          <w:rFonts w:ascii="Tw Cen MT" w:hAnsi="Tw Cen MT"/>
          <w:sz w:val="18"/>
          <w:szCs w:val="18"/>
          <w:lang w:val="en-ZA"/>
        </w:rPr>
        <w:t>:</w:t>
      </w:r>
      <w:r w:rsidRPr="0045510E">
        <w:rPr>
          <w:rFonts w:ascii="Tw Cen MT" w:hAnsi="Tw Cen MT"/>
          <w:sz w:val="18"/>
          <w:szCs w:val="18"/>
          <w:lang w:val="en-ZA"/>
        </w:rPr>
        <w:t xml:space="preserve"> To compare the frequently used CD138 immunohistochemistry- based method of plasma cell quantitation, to a proposed new method, using interobserver and intraobserver concordance parameters. </w:t>
      </w:r>
    </w:p>
    <w:p w:rsidR="0045510E" w:rsidRDefault="0045510E" w:rsidP="0045510E">
      <w:pPr>
        <w:pStyle w:val="Heading3"/>
        <w:rPr>
          <w:rFonts w:ascii="Tw Cen MT" w:hAnsi="Tw Cen MT"/>
          <w:sz w:val="18"/>
          <w:szCs w:val="18"/>
          <w:lang w:val="en-ZA"/>
        </w:rPr>
      </w:pPr>
      <w:r w:rsidRPr="0045510E">
        <w:rPr>
          <w:rFonts w:ascii="Tw Cen MT" w:hAnsi="Tw Cen MT"/>
          <w:sz w:val="18"/>
          <w:szCs w:val="18"/>
          <w:lang w:val="en-ZA"/>
        </w:rPr>
        <w:t>Methods</w:t>
      </w:r>
      <w:r>
        <w:rPr>
          <w:rFonts w:ascii="Tw Cen MT" w:hAnsi="Tw Cen MT"/>
          <w:sz w:val="18"/>
          <w:szCs w:val="18"/>
          <w:lang w:val="en-ZA"/>
        </w:rPr>
        <w:t>:</w:t>
      </w:r>
      <w:r w:rsidRPr="0045510E">
        <w:rPr>
          <w:rFonts w:ascii="Tw Cen MT" w:hAnsi="Tw Cen MT"/>
          <w:sz w:val="18"/>
          <w:szCs w:val="18"/>
          <w:lang w:val="en-ZA"/>
        </w:rPr>
        <w:t xml:space="preserve"> Archival CD138 immunohistochemically stained slides made from paraffin- embedded bone marrow biopsies of 33 patients with a confirmed diagnosis of multiple myeloma were used. Light microscopic examination was performed using low magnification lenses (10×) for both the overview estimation method (method A) and the new method (method B), and high magnification lenses (50×), for method B only. For method B, reviewers selected three areas with low, intermediate and high plasma cell densities using 10× lenses. Using a well- defined technique, the 50× lens was then used to count plasma cells as a percentage of all nucleated cells. After blinded relabelling of all the slides, the nine reviewers repeated the plasma cell quantitation using both methods. The plasma cell counts were obtained, and the review times were recorded. </w:t>
      </w:r>
    </w:p>
    <w:p w:rsidR="0045510E" w:rsidRDefault="0045510E" w:rsidP="0045510E">
      <w:pPr>
        <w:pStyle w:val="Heading3"/>
        <w:rPr>
          <w:rFonts w:ascii="Tw Cen MT" w:hAnsi="Tw Cen MT"/>
          <w:sz w:val="18"/>
          <w:szCs w:val="18"/>
          <w:lang w:val="en-ZA"/>
        </w:rPr>
      </w:pPr>
      <w:r w:rsidRPr="0045510E">
        <w:rPr>
          <w:rFonts w:ascii="Tw Cen MT" w:hAnsi="Tw Cen MT"/>
          <w:sz w:val="18"/>
          <w:szCs w:val="18"/>
          <w:lang w:val="en-ZA"/>
        </w:rPr>
        <w:t>Results</w:t>
      </w:r>
      <w:r>
        <w:rPr>
          <w:rFonts w:ascii="Tw Cen MT" w:hAnsi="Tw Cen MT"/>
          <w:sz w:val="18"/>
          <w:szCs w:val="18"/>
          <w:lang w:val="en-ZA"/>
        </w:rPr>
        <w:t>:</w:t>
      </w:r>
      <w:r w:rsidRPr="0045510E">
        <w:rPr>
          <w:rFonts w:ascii="Tw Cen MT" w:hAnsi="Tw Cen MT"/>
          <w:sz w:val="18"/>
          <w:szCs w:val="18"/>
          <w:lang w:val="en-ZA"/>
        </w:rPr>
        <w:t xml:space="preserve"> Overall intraobserver concordance was comparable for method A (concordance correlation coefficient (CCC)=0.840) and method B (CCC=0.733). Interobserver concordance for method A (intraclass correlation coefficient (ICC)=0.793 and 0.713) and method B (ICC=0.657 and 0.658) indicated high similarity between reviewers. Method A showed poor interobserver concordance (ICC=0.105) at low plasma cell densities. </w:t>
      </w:r>
    </w:p>
    <w:p w:rsidR="00AE3E37" w:rsidRDefault="0045510E" w:rsidP="0045510E">
      <w:pPr>
        <w:pStyle w:val="Heading3"/>
      </w:pPr>
      <w:r w:rsidRPr="0045510E">
        <w:rPr>
          <w:rFonts w:ascii="Tw Cen MT" w:hAnsi="Tw Cen MT"/>
          <w:sz w:val="18"/>
          <w:szCs w:val="18"/>
          <w:lang w:val="en-ZA"/>
        </w:rPr>
        <w:t>Conclusions</w:t>
      </w:r>
      <w:r>
        <w:rPr>
          <w:rFonts w:ascii="Tw Cen MT" w:hAnsi="Tw Cen MT"/>
          <w:sz w:val="18"/>
          <w:szCs w:val="18"/>
          <w:lang w:val="en-ZA"/>
        </w:rPr>
        <w:t>:</w:t>
      </w:r>
      <w:r w:rsidRPr="0045510E">
        <w:rPr>
          <w:rFonts w:ascii="Tw Cen MT" w:hAnsi="Tw Cen MT"/>
          <w:sz w:val="18"/>
          <w:szCs w:val="18"/>
          <w:lang w:val="en-ZA"/>
        </w:rPr>
        <w:t xml:space="preserve"> The new method is comparable to the frequently used overview estimation method in terms of intraobserver and interobserver concordance, and cost. The new method has superior interobserver concordance at low plasma cell densities. The new method appears more amenable to digital scanning and analysis.</w:t>
      </w:r>
      <w:r w:rsidR="00A9710C">
        <w:rPr>
          <w:b w:val="0"/>
        </w:rPr>
        <w:br w:type="column"/>
      </w:r>
      <w:r w:rsidR="00A9710C">
        <w:rPr>
          <w:color w:val="BF5A14"/>
        </w:rPr>
        <w:lastRenderedPageBreak/>
        <w:t>Image</w:t>
      </w:r>
    </w:p>
    <w:p w:rsidR="00AE3E37" w:rsidRDefault="0045510E">
      <w:pPr>
        <w:pStyle w:val="BodyText"/>
        <w:spacing w:before="2"/>
        <w:rPr>
          <w:rFonts w:ascii="Arial"/>
          <w:b/>
          <w:sz w:val="16"/>
        </w:rPr>
      </w:pPr>
      <w:r>
        <w:rPr>
          <w:noProof/>
          <w:lang w:val="en-GB" w:eastAsia="en-GB"/>
        </w:rPr>
        <w:drawing>
          <wp:inline distT="0" distB="0" distL="0" distR="0">
            <wp:extent cx="3143689" cy="165758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8DC6D.tmp"/>
                    <pic:cNvPicPr/>
                  </pic:nvPicPr>
                  <pic:blipFill>
                    <a:blip r:embed="rId8">
                      <a:extLst>
                        <a:ext uri="{28A0092B-C50C-407E-A947-70E740481C1C}">
                          <a14:useLocalDpi xmlns:a14="http://schemas.microsoft.com/office/drawing/2010/main" val="0"/>
                        </a:ext>
                      </a:extLst>
                    </a:blip>
                    <a:stretch>
                      <a:fillRect/>
                    </a:stretch>
                  </pic:blipFill>
                  <pic:spPr>
                    <a:xfrm>
                      <a:off x="0" y="0"/>
                      <a:ext cx="3143689" cy="1657581"/>
                    </a:xfrm>
                    <a:prstGeom prst="rect">
                      <a:avLst/>
                    </a:prstGeom>
                  </pic:spPr>
                </pic:pic>
              </a:graphicData>
            </a:graphic>
          </wp:inline>
        </w:drawing>
      </w:r>
    </w:p>
    <w:p w:rsidR="0045510E" w:rsidRPr="0045510E" w:rsidRDefault="0045510E" w:rsidP="005973B9">
      <w:pPr>
        <w:spacing w:line="204" w:lineRule="exact"/>
        <w:rPr>
          <w:sz w:val="20"/>
        </w:rPr>
      </w:pPr>
      <w:r w:rsidRPr="0045510E">
        <w:rPr>
          <w:sz w:val="20"/>
        </w:rPr>
        <w:t>Figure 1 Interobserver concordance between all the reviewers at different tumour burdens. ICC, intraclass correlation coefficient.</w:t>
      </w:r>
      <w:r w:rsidR="00513E16" w:rsidRPr="0045510E">
        <w:rPr>
          <w:sz w:val="20"/>
        </w:rPr>
        <w:br/>
      </w:r>
    </w:p>
    <w:p w:rsidR="0045510E" w:rsidRDefault="0045510E" w:rsidP="005973B9">
      <w:pPr>
        <w:spacing w:line="204" w:lineRule="exact"/>
        <w:rPr>
          <w:rFonts w:ascii="Arial"/>
          <w:b/>
          <w:color w:val="BF5A14"/>
          <w:sz w:val="20"/>
        </w:rPr>
      </w:pPr>
    </w:p>
    <w:p w:rsidR="0045510E" w:rsidRDefault="0045510E" w:rsidP="005973B9">
      <w:pPr>
        <w:spacing w:line="204" w:lineRule="exact"/>
        <w:rPr>
          <w:rFonts w:ascii="Arial"/>
          <w:b/>
          <w:color w:val="BF5A14"/>
          <w:sz w:val="20"/>
        </w:rPr>
      </w:pPr>
    </w:p>
    <w:p w:rsidR="0045510E" w:rsidRDefault="0045510E" w:rsidP="005973B9">
      <w:pPr>
        <w:spacing w:line="204" w:lineRule="exact"/>
        <w:rPr>
          <w:rFonts w:ascii="Arial"/>
          <w:b/>
          <w:color w:val="BF5A14"/>
          <w:sz w:val="20"/>
        </w:rPr>
      </w:pPr>
    </w:p>
    <w:p w:rsidR="005973B9" w:rsidRDefault="00513E16" w:rsidP="005973B9">
      <w:pPr>
        <w:spacing w:line="204" w:lineRule="exact"/>
        <w:rPr>
          <w:rFonts w:ascii="Arial"/>
          <w:b/>
          <w:sz w:val="20"/>
        </w:rPr>
      </w:pPr>
      <w:r>
        <w:rPr>
          <w:rFonts w:ascii="Arial"/>
          <w:b/>
          <w:color w:val="BF5A14"/>
          <w:sz w:val="20"/>
        </w:rPr>
        <w:t>Recent Publications</w:t>
      </w:r>
    </w:p>
    <w:p w:rsidR="005973B9" w:rsidRPr="00891043" w:rsidRDefault="00891043"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891043">
        <w:rPr>
          <w:rFonts w:asciiTheme="minorHAnsi" w:hAnsiTheme="minorHAnsi" w:cstheme="minorHAnsi"/>
          <w:color w:val="000000"/>
          <w:sz w:val="18"/>
          <w:szCs w:val="18"/>
          <w:shd w:val="clear" w:color="auto" w:fill="FFFFFF"/>
        </w:rPr>
        <w:t>A</w:t>
      </w:r>
      <w:r w:rsidRPr="00891043">
        <w:rPr>
          <w:rFonts w:asciiTheme="minorHAnsi" w:hAnsiTheme="minorHAnsi" w:cstheme="minorHAnsi"/>
          <w:color w:val="000000"/>
          <w:sz w:val="18"/>
          <w:szCs w:val="18"/>
          <w:shd w:val="clear" w:color="auto" w:fill="FFFFFF"/>
        </w:rPr>
        <w:t>bdullah, I., Subramony, N., Musekwa, E., Nell, E., Alzanad, F., Chetty, C., Gantana, E., Lohlun, R., Cerfontein, W., Cochrane, B. and Chapanduka, Z., 2021. Indications and diagnostic value of bone marrow examination in HIV-positive individuals: A 3-year review at Tygerberg Hospital. </w:t>
      </w:r>
      <w:r w:rsidRPr="00891043">
        <w:rPr>
          <w:rFonts w:asciiTheme="minorHAnsi" w:hAnsiTheme="minorHAnsi" w:cstheme="minorHAnsi"/>
          <w:i/>
          <w:iCs/>
          <w:color w:val="000000"/>
          <w:sz w:val="18"/>
          <w:szCs w:val="18"/>
          <w:shd w:val="clear" w:color="auto" w:fill="FFFFFF"/>
        </w:rPr>
        <w:t>Southern African Journal of Infectious Diseases</w:t>
      </w:r>
      <w:r w:rsidRPr="00891043">
        <w:rPr>
          <w:rFonts w:asciiTheme="minorHAnsi" w:hAnsiTheme="minorHAnsi" w:cstheme="minorHAnsi"/>
          <w:color w:val="000000"/>
          <w:sz w:val="18"/>
          <w:szCs w:val="18"/>
          <w:shd w:val="clear" w:color="auto" w:fill="FFFFFF"/>
        </w:rPr>
        <w:t>, 36(1).</w:t>
      </w:r>
      <w:r>
        <w:rPr>
          <w:rFonts w:asciiTheme="minorHAnsi" w:hAnsiTheme="minorHAnsi" w:cstheme="minorHAnsi"/>
          <w:color w:val="000000"/>
          <w:sz w:val="18"/>
          <w:szCs w:val="18"/>
          <w:shd w:val="clear" w:color="auto" w:fill="FFFFFF"/>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6F1D4AC5" wp14:editId="51CA64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4993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74269" w:rsidRDefault="00274269" w:rsidP="00404E5B">
      <w:pPr>
        <w:spacing w:before="92"/>
        <w:ind w:right="4234"/>
        <w:rPr>
          <w:noProof/>
        </w:rPr>
      </w:pPr>
      <w:r>
        <w:rPr>
          <w:rFonts w:ascii="Minion Pro"/>
          <w:noProof/>
          <w:sz w:val="26"/>
          <w:lang w:val="en-GB" w:eastAsia="en-GB"/>
        </w:rPr>
        <w:drawing>
          <wp:anchor distT="0" distB="0" distL="114300" distR="114300" simplePos="0" relativeHeight="251668480" behindDoc="1" locked="0" layoutInCell="1" allowOverlap="1" wp14:anchorId="14923985" wp14:editId="48B56F5E">
            <wp:simplePos x="0" y="0"/>
            <wp:positionH relativeFrom="column">
              <wp:posOffset>2997200</wp:posOffset>
            </wp:positionH>
            <wp:positionV relativeFrom="paragraph">
              <wp:posOffset>88900</wp:posOffset>
            </wp:positionV>
            <wp:extent cx="752475" cy="1129665"/>
            <wp:effectExtent l="0" t="0" r="9525" b="0"/>
            <wp:wrapTight wrapText="bothSides">
              <wp:wrapPolygon edited="0">
                <wp:start x="0" y="0"/>
                <wp:lineTo x="0" y="21126"/>
                <wp:lineTo x="21327" y="21126"/>
                <wp:lineTo x="2132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11296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val="en-GB" w:eastAsia="en-GB"/>
        </w:rPr>
        <w:drawing>
          <wp:anchor distT="0" distB="0" distL="114300" distR="114300" simplePos="0" relativeHeight="251652096" behindDoc="1" locked="0" layoutInCell="1" allowOverlap="1" wp14:anchorId="128AAFEC" wp14:editId="6D8BB7EA">
            <wp:simplePos x="0" y="0"/>
            <wp:positionH relativeFrom="column">
              <wp:posOffset>5930900</wp:posOffset>
            </wp:positionH>
            <wp:positionV relativeFrom="paragraph">
              <wp:posOffset>70485</wp:posOffset>
            </wp:positionV>
            <wp:extent cx="620395" cy="762000"/>
            <wp:effectExtent l="0" t="0" r="8255" b="0"/>
            <wp:wrapTight wrapText="bothSides">
              <wp:wrapPolygon edited="0">
                <wp:start x="0" y="0"/>
                <wp:lineTo x="0" y="21060"/>
                <wp:lineTo x="21224" y="21060"/>
                <wp:lineTo x="2122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395" cy="7620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1312" behindDoc="1" locked="0" layoutInCell="1" allowOverlap="1" wp14:anchorId="241B7B47" wp14:editId="4D552297">
            <wp:simplePos x="0" y="0"/>
            <wp:positionH relativeFrom="column">
              <wp:posOffset>-3175</wp:posOffset>
            </wp:positionH>
            <wp:positionV relativeFrom="paragraph">
              <wp:posOffset>70485</wp:posOffset>
            </wp:positionV>
            <wp:extent cx="685800" cy="846455"/>
            <wp:effectExtent l="0" t="0" r="0" b="0"/>
            <wp:wrapTight wrapText="bothSides">
              <wp:wrapPolygon edited="0">
                <wp:start x="0" y="0"/>
                <wp:lineTo x="0" y="20903"/>
                <wp:lineTo x="21000" y="20903"/>
                <wp:lineTo x="2100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46455"/>
                    </a:xfrm>
                    <a:prstGeom prst="rect">
                      <a:avLst/>
                    </a:prstGeom>
                    <a:noFill/>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274269" w:rsidRDefault="00274269" w:rsidP="00404E5B">
      <w:pPr>
        <w:spacing w:before="92"/>
        <w:ind w:right="4234"/>
        <w:rPr>
          <w:rFonts w:ascii="Arial"/>
          <w:color w:val="BF5A14"/>
        </w:rPr>
      </w:pPr>
    </w:p>
    <w:p w:rsidR="00274269" w:rsidRDefault="00274269" w:rsidP="00404E5B">
      <w:pPr>
        <w:spacing w:before="92"/>
        <w:ind w:right="4234"/>
        <w:rPr>
          <w:rFonts w:ascii="Arial"/>
          <w:color w:val="BF5A14"/>
        </w:rPr>
      </w:pPr>
    </w:p>
    <w:p w:rsidR="00274269" w:rsidRDefault="00274269" w:rsidP="00404E5B">
      <w:pPr>
        <w:spacing w:before="92"/>
        <w:ind w:right="4234"/>
        <w:rPr>
          <w:rFonts w:ascii="Arial"/>
          <w:color w:val="BF5A14"/>
        </w:rPr>
      </w:pPr>
    </w:p>
    <w:p w:rsidR="00274269" w:rsidRDefault="00274269"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274269">
        <w:rPr>
          <w:rFonts w:ascii="Arial"/>
          <w:color w:val="BF5A14"/>
        </w:rPr>
        <w:t xml:space="preserve"> </w:t>
      </w:r>
    </w:p>
    <w:p w:rsidR="00274269" w:rsidRPr="00DD7AC7" w:rsidRDefault="00274269" w:rsidP="00274269">
      <w:pPr>
        <w:spacing w:before="41" w:line="154" w:lineRule="exact"/>
        <w:ind w:left="213" w:right="231"/>
        <w:jc w:val="both"/>
        <w:rPr>
          <w:rFonts w:ascii="Arial"/>
          <w:sz w:val="14"/>
          <w:lang w:val="en-GB"/>
        </w:rPr>
      </w:pPr>
      <w:r>
        <w:rPr>
          <w:rFonts w:ascii="Arial"/>
          <w:sz w:val="14"/>
        </w:rPr>
        <w:t xml:space="preserve">Ethan Gantana graduated as a medical doctor (MBChB) from </w:t>
      </w:r>
      <w:r w:rsidRPr="008D437B">
        <w:rPr>
          <w:rFonts w:ascii="Arial"/>
          <w:sz w:val="14"/>
          <w:lang w:val="en-GB"/>
        </w:rPr>
        <w:t>Stellenbosch</w:t>
      </w:r>
      <w:r>
        <w:rPr>
          <w:rFonts w:ascii="Arial"/>
          <w:sz w:val="14"/>
        </w:rPr>
        <w:t xml:space="preserve"> University in 2015 and is currently a registrar in the division of Haematological Pathology.</w:t>
      </w:r>
      <w:r w:rsidR="00DD7AC7">
        <w:rPr>
          <w:rFonts w:ascii="Arial"/>
          <w:sz w:val="14"/>
        </w:rPr>
        <w:t xml:space="preserve"> He has a special interest in digital pathology.</w:t>
      </w:r>
      <w:r>
        <w:rPr>
          <w:rFonts w:ascii="Arial"/>
          <w:sz w:val="14"/>
        </w:rPr>
        <w:t xml:space="preserve"> Ethan and Zivanai Chapanduka </w:t>
      </w:r>
      <w:r w:rsidR="00DD7AC7" w:rsidRPr="008D437B">
        <w:rPr>
          <w:rFonts w:ascii="Arial"/>
          <w:sz w:val="14"/>
          <w:lang w:val="en-GB"/>
        </w:rPr>
        <w:t>conceptualised</w:t>
      </w:r>
      <w:r>
        <w:rPr>
          <w:rFonts w:ascii="Arial"/>
          <w:sz w:val="14"/>
        </w:rPr>
        <w:t xml:space="preserve"> and designed this</w:t>
      </w:r>
      <w:r w:rsidR="00DD7AC7">
        <w:rPr>
          <w:rFonts w:ascii="Arial"/>
          <w:sz w:val="14"/>
        </w:rPr>
        <w:t xml:space="preserve"> study,</w:t>
      </w:r>
      <w:r w:rsidRPr="00274269">
        <w:rPr>
          <w:rFonts w:ascii="Arial"/>
          <w:sz w:val="14"/>
        </w:rPr>
        <w:t xml:space="preserve"> participated in the experimental phase and wrote the draft protocol and manuscript. All the authors participated in the experimental phase of the study </w:t>
      </w:r>
      <w:r w:rsidR="00DD7AC7">
        <w:rPr>
          <w:rFonts w:ascii="Arial"/>
          <w:sz w:val="14"/>
        </w:rPr>
        <w:t>and review of the manuscript. Ethan</w:t>
      </w:r>
      <w:r w:rsidRPr="00274269">
        <w:rPr>
          <w:rFonts w:ascii="Arial"/>
          <w:sz w:val="14"/>
        </w:rPr>
        <w:t xml:space="preserve"> coordinated all aspects of the conduct of the study.</w:t>
      </w:r>
      <w:r w:rsidR="00DD7AC7">
        <w:rPr>
          <w:rFonts w:ascii="Arial"/>
          <w:sz w:val="14"/>
        </w:rPr>
        <w:t xml:space="preserve"> </w:t>
      </w:r>
    </w:p>
    <w:p w:rsidR="00DD7AC7" w:rsidRDefault="00DD7AC7">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45510E">
          <w:rPr>
            <w:rStyle w:val="Hyperlink"/>
            <w:rFonts w:ascii="Arial"/>
            <w:sz w:val="14"/>
          </w:rPr>
          <w:t>Ethan.Gantana@nhls.ac.za</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251644928" behindDoc="0" locked="0" layoutInCell="1" allowOverlap="1" wp14:anchorId="7A21B324" wp14:editId="79E256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986F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74269">
        <w:rPr>
          <w:sz w:val="20"/>
          <w:szCs w:val="20"/>
          <w:lang w:val="en-NZ"/>
        </w:rPr>
        <w:t xml:space="preserve">Ethan </w:t>
      </w:r>
      <w:r w:rsidR="008D437B">
        <w:rPr>
          <w:sz w:val="20"/>
          <w:szCs w:val="20"/>
          <w:lang w:val="en-NZ"/>
        </w:rPr>
        <w:t xml:space="preserve">James </w:t>
      </w:r>
      <w:r w:rsidR="00274269">
        <w:rPr>
          <w:sz w:val="20"/>
          <w:szCs w:val="20"/>
          <w:lang w:val="en-NZ"/>
        </w:rPr>
        <w:t>Gantana</w:t>
      </w:r>
      <w:r w:rsidRPr="00F35A62">
        <w:rPr>
          <w:sz w:val="20"/>
          <w:szCs w:val="20"/>
          <w:lang w:val="en-NZ"/>
        </w:rPr>
        <w:br/>
        <w:t>Contact number:</w:t>
      </w:r>
      <w:r w:rsidR="00274269">
        <w:rPr>
          <w:sz w:val="20"/>
          <w:szCs w:val="20"/>
          <w:lang w:val="en-NZ"/>
        </w:rPr>
        <w:t xml:space="preserve"> +27 71 4188761</w:t>
      </w:r>
      <w:r w:rsidRPr="00F35A62">
        <w:rPr>
          <w:sz w:val="20"/>
          <w:szCs w:val="20"/>
          <w:lang w:val="en-NZ"/>
        </w:rPr>
        <w:br/>
        <w:t>Twitter account:</w:t>
      </w:r>
      <w:r w:rsidR="00274269">
        <w:rPr>
          <w:sz w:val="20"/>
          <w:szCs w:val="20"/>
          <w:lang w:val="en-NZ"/>
        </w:rPr>
        <w:t xml:space="preserve"> @EJGantana</w:t>
      </w:r>
      <w:r w:rsidRPr="00F35A62">
        <w:rPr>
          <w:sz w:val="20"/>
          <w:szCs w:val="20"/>
          <w:lang w:val="en-NZ"/>
        </w:rPr>
        <w:br/>
        <w:t>Linked In account:</w:t>
      </w:r>
    </w:p>
    <w:p w:rsidR="00EA7D51" w:rsidRPr="00274269" w:rsidRDefault="00EA7D51" w:rsidP="00274269">
      <w:pPr>
        <w:autoSpaceDE w:val="0"/>
        <w:autoSpaceDN w:val="0"/>
        <w:adjustRightInd w:val="0"/>
        <w:rPr>
          <w:sz w:val="20"/>
          <w:szCs w:val="20"/>
          <w:lang w:val="en-NZ"/>
        </w:rPr>
        <w:sectPr w:rsidR="00EA7D51" w:rsidRPr="0027426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274269">
        <w:rPr>
          <w:sz w:val="20"/>
          <w:szCs w:val="20"/>
          <w:lang w:val="en-NZ"/>
        </w:rPr>
        <w:t>sentation/</w:t>
      </w:r>
      <w:r w:rsidR="002A1CB6">
        <w:rPr>
          <w:sz w:val="20"/>
          <w:szCs w:val="20"/>
          <w:lang w:val="en-NZ"/>
        </w:rPr>
        <w:t>Poster presentation)</w:t>
      </w:r>
      <w:bookmarkStart w:id="0" w:name="_GoBack"/>
      <w:bookmarkEnd w:id="0"/>
    </w:p>
    <w:p w:rsidR="00AE3E37" w:rsidRDefault="00AE3E37" w:rsidP="00274269">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128" w:rsidRDefault="001A2128">
      <w:r>
        <w:separator/>
      </w:r>
    </w:p>
  </w:endnote>
  <w:endnote w:type="continuationSeparator" w:id="0">
    <w:p w:rsidR="001A2128" w:rsidRDefault="001A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128" w:rsidRDefault="001A2128">
      <w:r>
        <w:separator/>
      </w:r>
    </w:p>
  </w:footnote>
  <w:footnote w:type="continuationSeparator" w:id="0">
    <w:p w:rsidR="001A2128" w:rsidRDefault="001A21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A2128"/>
    <w:rsid w:val="00274269"/>
    <w:rsid w:val="00292ED9"/>
    <w:rsid w:val="002A1CB6"/>
    <w:rsid w:val="00351D9B"/>
    <w:rsid w:val="00380299"/>
    <w:rsid w:val="00404E5B"/>
    <w:rsid w:val="00414F7B"/>
    <w:rsid w:val="004355DC"/>
    <w:rsid w:val="0045510E"/>
    <w:rsid w:val="004749B4"/>
    <w:rsid w:val="00475D20"/>
    <w:rsid w:val="00494130"/>
    <w:rsid w:val="004F3523"/>
    <w:rsid w:val="00513E16"/>
    <w:rsid w:val="00590D60"/>
    <w:rsid w:val="005973B9"/>
    <w:rsid w:val="005B3A56"/>
    <w:rsid w:val="006060CE"/>
    <w:rsid w:val="0061505C"/>
    <w:rsid w:val="0063497F"/>
    <w:rsid w:val="00714354"/>
    <w:rsid w:val="00873DF0"/>
    <w:rsid w:val="008756E6"/>
    <w:rsid w:val="00891043"/>
    <w:rsid w:val="00897EC5"/>
    <w:rsid w:val="008A0763"/>
    <w:rsid w:val="008D437B"/>
    <w:rsid w:val="008E5477"/>
    <w:rsid w:val="009B2D44"/>
    <w:rsid w:val="00A07E82"/>
    <w:rsid w:val="00A52075"/>
    <w:rsid w:val="00A9710C"/>
    <w:rsid w:val="00AE3E37"/>
    <w:rsid w:val="00B21A57"/>
    <w:rsid w:val="00BE6743"/>
    <w:rsid w:val="00C33602"/>
    <w:rsid w:val="00C56C74"/>
    <w:rsid w:val="00CD6F55"/>
    <w:rsid w:val="00DD7AC7"/>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08A6A"/>
  <w15:docId w15:val="{FBB94273-7762-4D76-8756-ECFFA959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513E16"/>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513E16"/>
  </w:style>
  <w:style w:type="character" w:customStyle="1" w:styleId="eop">
    <w:name w:val="eop"/>
    <w:basedOn w:val="DefaultParagraphFont"/>
    <w:rsid w:val="0051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8500152">
      <w:bodyDiv w:val="1"/>
      <w:marLeft w:val="0"/>
      <w:marRight w:val="0"/>
      <w:marTop w:val="0"/>
      <w:marBottom w:val="0"/>
      <w:divBdr>
        <w:top w:val="none" w:sz="0" w:space="0" w:color="auto"/>
        <w:left w:val="none" w:sz="0" w:space="0" w:color="auto"/>
        <w:bottom w:val="none" w:sz="0" w:space="0" w:color="auto"/>
        <w:right w:val="none" w:sz="0" w:space="0" w:color="auto"/>
      </w:divBdr>
      <w:divsChild>
        <w:div w:id="1505316423">
          <w:marLeft w:val="0"/>
          <w:marRight w:val="0"/>
          <w:marTop w:val="0"/>
          <w:marBottom w:val="0"/>
          <w:divBdr>
            <w:top w:val="none" w:sz="0" w:space="0" w:color="auto"/>
            <w:left w:val="none" w:sz="0" w:space="0" w:color="auto"/>
            <w:bottom w:val="none" w:sz="0" w:space="0" w:color="auto"/>
            <w:right w:val="none" w:sz="0" w:space="0" w:color="auto"/>
          </w:divBdr>
        </w:div>
        <w:div w:id="511530550">
          <w:marLeft w:val="0"/>
          <w:marRight w:val="0"/>
          <w:marTop w:val="0"/>
          <w:marBottom w:val="0"/>
          <w:divBdr>
            <w:top w:val="none" w:sz="0" w:space="0" w:color="auto"/>
            <w:left w:val="none" w:sz="0" w:space="0" w:color="auto"/>
            <w:bottom w:val="none" w:sz="0" w:space="0" w:color="auto"/>
            <w:right w:val="none" w:sz="0" w:space="0" w:color="auto"/>
          </w:divBdr>
        </w:div>
        <w:div w:id="2113433957">
          <w:marLeft w:val="0"/>
          <w:marRight w:val="0"/>
          <w:marTop w:val="0"/>
          <w:marBottom w:val="0"/>
          <w:divBdr>
            <w:top w:val="none" w:sz="0" w:space="0" w:color="auto"/>
            <w:left w:val="none" w:sz="0" w:space="0" w:color="auto"/>
            <w:bottom w:val="none" w:sz="0" w:space="0" w:color="auto"/>
            <w:right w:val="none" w:sz="0" w:space="0" w:color="auto"/>
          </w:divBdr>
        </w:div>
        <w:div w:id="1703239110">
          <w:marLeft w:val="0"/>
          <w:marRight w:val="0"/>
          <w:marTop w:val="0"/>
          <w:marBottom w:val="0"/>
          <w:divBdr>
            <w:top w:val="none" w:sz="0" w:space="0" w:color="auto"/>
            <w:left w:val="none" w:sz="0" w:space="0" w:color="auto"/>
            <w:bottom w:val="none" w:sz="0" w:space="0" w:color="auto"/>
            <w:right w:val="none" w:sz="0" w:space="0" w:color="auto"/>
          </w:divBdr>
        </w:div>
        <w:div w:id="314645839">
          <w:marLeft w:val="0"/>
          <w:marRight w:val="0"/>
          <w:marTop w:val="0"/>
          <w:marBottom w:val="0"/>
          <w:divBdr>
            <w:top w:val="none" w:sz="0" w:space="0" w:color="auto"/>
            <w:left w:val="none" w:sz="0" w:space="0" w:color="auto"/>
            <w:bottom w:val="none" w:sz="0" w:space="0" w:color="auto"/>
            <w:right w:val="none" w:sz="0" w:space="0" w:color="auto"/>
          </w:divBdr>
        </w:div>
        <w:div w:id="1727799715">
          <w:marLeft w:val="0"/>
          <w:marRight w:val="0"/>
          <w:marTop w:val="0"/>
          <w:marBottom w:val="0"/>
          <w:divBdr>
            <w:top w:val="none" w:sz="0" w:space="0" w:color="auto"/>
            <w:left w:val="none" w:sz="0" w:space="0" w:color="auto"/>
            <w:bottom w:val="none" w:sz="0" w:space="0" w:color="auto"/>
            <w:right w:val="none" w:sz="0" w:space="0" w:color="auto"/>
          </w:divBdr>
        </w:div>
        <w:div w:id="1841853404">
          <w:marLeft w:val="0"/>
          <w:marRight w:val="0"/>
          <w:marTop w:val="0"/>
          <w:marBottom w:val="0"/>
          <w:divBdr>
            <w:top w:val="none" w:sz="0" w:space="0" w:color="auto"/>
            <w:left w:val="none" w:sz="0" w:space="0" w:color="auto"/>
            <w:bottom w:val="none" w:sz="0" w:space="0" w:color="auto"/>
            <w:right w:val="none" w:sz="0" w:space="0" w:color="auto"/>
          </w:divBdr>
        </w:div>
        <w:div w:id="1812210238">
          <w:marLeft w:val="0"/>
          <w:marRight w:val="0"/>
          <w:marTop w:val="0"/>
          <w:marBottom w:val="0"/>
          <w:divBdr>
            <w:top w:val="none" w:sz="0" w:space="0" w:color="auto"/>
            <w:left w:val="none" w:sz="0" w:space="0" w:color="auto"/>
            <w:bottom w:val="none" w:sz="0" w:space="0" w:color="auto"/>
            <w:right w:val="none" w:sz="0" w:space="0" w:color="auto"/>
          </w:divBdr>
        </w:div>
      </w:divsChild>
    </w:div>
    <w:div w:id="1402436633">
      <w:bodyDiv w:val="1"/>
      <w:marLeft w:val="0"/>
      <w:marRight w:val="0"/>
      <w:marTop w:val="0"/>
      <w:marBottom w:val="0"/>
      <w:divBdr>
        <w:top w:val="none" w:sz="0" w:space="0" w:color="auto"/>
        <w:left w:val="none" w:sz="0" w:space="0" w:color="auto"/>
        <w:bottom w:val="none" w:sz="0" w:space="0" w:color="auto"/>
        <w:right w:val="none" w:sz="0" w:space="0" w:color="auto"/>
      </w:divBdr>
      <w:divsChild>
        <w:div w:id="1680619327">
          <w:marLeft w:val="0"/>
          <w:marRight w:val="0"/>
          <w:marTop w:val="0"/>
          <w:marBottom w:val="0"/>
          <w:divBdr>
            <w:top w:val="none" w:sz="0" w:space="0" w:color="auto"/>
            <w:left w:val="none" w:sz="0" w:space="0" w:color="auto"/>
            <w:bottom w:val="none" w:sz="0" w:space="0" w:color="auto"/>
            <w:right w:val="none" w:sz="0" w:space="0" w:color="auto"/>
          </w:divBdr>
        </w:div>
        <w:div w:id="7877921">
          <w:marLeft w:val="0"/>
          <w:marRight w:val="0"/>
          <w:marTop w:val="0"/>
          <w:marBottom w:val="0"/>
          <w:divBdr>
            <w:top w:val="none" w:sz="0" w:space="0" w:color="auto"/>
            <w:left w:val="none" w:sz="0" w:space="0" w:color="auto"/>
            <w:bottom w:val="none" w:sz="0" w:space="0" w:color="auto"/>
            <w:right w:val="none" w:sz="0" w:space="0" w:color="auto"/>
          </w:divBdr>
        </w:div>
        <w:div w:id="1141656607">
          <w:marLeft w:val="0"/>
          <w:marRight w:val="0"/>
          <w:marTop w:val="0"/>
          <w:marBottom w:val="0"/>
          <w:divBdr>
            <w:top w:val="none" w:sz="0" w:space="0" w:color="auto"/>
            <w:left w:val="none" w:sz="0" w:space="0" w:color="auto"/>
            <w:bottom w:val="none" w:sz="0" w:space="0" w:color="auto"/>
            <w:right w:val="none" w:sz="0" w:space="0" w:color="auto"/>
          </w:divBdr>
        </w:div>
        <w:div w:id="1910534102">
          <w:marLeft w:val="0"/>
          <w:marRight w:val="0"/>
          <w:marTop w:val="0"/>
          <w:marBottom w:val="0"/>
          <w:divBdr>
            <w:top w:val="none" w:sz="0" w:space="0" w:color="auto"/>
            <w:left w:val="none" w:sz="0" w:space="0" w:color="auto"/>
            <w:bottom w:val="none" w:sz="0" w:space="0" w:color="auto"/>
            <w:right w:val="none" w:sz="0" w:space="0" w:color="auto"/>
          </w:divBdr>
        </w:div>
        <w:div w:id="25955244">
          <w:marLeft w:val="0"/>
          <w:marRight w:val="0"/>
          <w:marTop w:val="0"/>
          <w:marBottom w:val="0"/>
          <w:divBdr>
            <w:top w:val="none" w:sz="0" w:space="0" w:color="auto"/>
            <w:left w:val="none" w:sz="0" w:space="0" w:color="auto"/>
            <w:bottom w:val="none" w:sz="0" w:space="0" w:color="auto"/>
            <w:right w:val="none" w:sz="0" w:space="0" w:color="auto"/>
          </w:divBdr>
        </w:div>
        <w:div w:id="1315330688">
          <w:marLeft w:val="0"/>
          <w:marRight w:val="0"/>
          <w:marTop w:val="0"/>
          <w:marBottom w:val="0"/>
          <w:divBdr>
            <w:top w:val="none" w:sz="0" w:space="0" w:color="auto"/>
            <w:left w:val="none" w:sz="0" w:space="0" w:color="auto"/>
            <w:bottom w:val="none" w:sz="0" w:space="0" w:color="auto"/>
            <w:right w:val="none" w:sz="0" w:space="0" w:color="auto"/>
          </w:divBdr>
        </w:div>
        <w:div w:id="3630085">
          <w:marLeft w:val="0"/>
          <w:marRight w:val="0"/>
          <w:marTop w:val="0"/>
          <w:marBottom w:val="0"/>
          <w:divBdr>
            <w:top w:val="none" w:sz="0" w:space="0" w:color="auto"/>
            <w:left w:val="none" w:sz="0" w:space="0" w:color="auto"/>
            <w:bottom w:val="none" w:sz="0" w:space="0" w:color="auto"/>
            <w:right w:val="none" w:sz="0" w:space="0" w:color="auto"/>
          </w:divBdr>
        </w:div>
        <w:div w:id="120783344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7963942">
      <w:bodyDiv w:val="1"/>
      <w:marLeft w:val="0"/>
      <w:marRight w:val="0"/>
      <w:marTop w:val="0"/>
      <w:marBottom w:val="0"/>
      <w:divBdr>
        <w:top w:val="none" w:sz="0" w:space="0" w:color="auto"/>
        <w:left w:val="none" w:sz="0" w:space="0" w:color="auto"/>
        <w:bottom w:val="none" w:sz="0" w:space="0" w:color="auto"/>
        <w:right w:val="none" w:sz="0" w:space="0" w:color="auto"/>
      </w:divBdr>
      <w:divsChild>
        <w:div w:id="1488745251">
          <w:marLeft w:val="0"/>
          <w:marRight w:val="0"/>
          <w:marTop w:val="0"/>
          <w:marBottom w:val="0"/>
          <w:divBdr>
            <w:top w:val="none" w:sz="0" w:space="0" w:color="auto"/>
            <w:left w:val="none" w:sz="0" w:space="0" w:color="auto"/>
            <w:bottom w:val="none" w:sz="0" w:space="0" w:color="auto"/>
            <w:right w:val="none" w:sz="0" w:space="0" w:color="auto"/>
          </w:divBdr>
        </w:div>
        <w:div w:id="5249009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Ethan.Gantana@nhls.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Gantana, EJ, Dr [15992896@sun.ac.za]</cp:lastModifiedBy>
  <cp:revision>4</cp:revision>
  <dcterms:created xsi:type="dcterms:W3CDTF">2021-12-30T07:33:00Z</dcterms:created>
  <dcterms:modified xsi:type="dcterms:W3CDTF">2021-12-30T07:34:00Z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