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lang w:eastAsia="en-IN"/>
        </w:rPr>
        <w:drawing>
          <wp:anchor distT="0" distB="0" distL="0" distR="0" simplePos="0" relativeHeight="251659264" behindDoc="0" locked="0" layoutInCell="1" allowOverlap="1">
            <wp:simplePos x="0" y="0"/>
            <wp:positionH relativeFrom="column">
              <wp:posOffset>3738245</wp:posOffset>
            </wp:positionH>
            <wp:positionV relativeFrom="paragraph">
              <wp:posOffset>-628650</wp:posOffset>
            </wp:positionV>
            <wp:extent cx="1076325" cy="1076325"/>
            <wp:effectExtent l="0" t="0" r="9525" b="9525"/>
            <wp:wrapSquare wrapText="bothSides"/>
            <wp:docPr id="1" name="Picture 1" descr="C:\Users\sb\Downloads\ramachandran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b\Downloads\ramachandranm (1).jpg"/>
                    <pic:cNvPicPr>
                      <a:picLocks noChangeAspect="1" noChangeArrowheads="1"/>
                    </pic:cNvPicPr>
                  </pic:nvPicPr>
                  <pic:blipFill>
                    <a:blip r:embed="rId6"/>
                    <a:srcRect/>
                    <a:stretch>
                      <a:fillRect/>
                    </a:stretch>
                  </pic:blipFill>
                  <pic:spPr>
                    <a:xfrm>
                      <a:off x="0" y="0"/>
                      <a:ext cx="1076325" cy="1076325"/>
                    </a:xfrm>
                    <a:prstGeom prst="rect">
                      <a:avLst/>
                    </a:prstGeom>
                    <a:noFill/>
                    <a:ln w="9525">
                      <a:noFill/>
                      <a:miter lim="800000"/>
                      <a:headEnd/>
                      <a:tailEnd/>
                    </a:ln>
                  </pic:spPr>
                </pic:pic>
              </a:graphicData>
            </a:graphic>
          </wp:anchor>
        </w:drawing>
      </w:r>
      <w:r>
        <w:t xml:space="preserve">                                                 </w:t>
      </w:r>
    </w:p>
    <w:p/>
    <w:p>
      <w:pPr>
        <w:rPr>
          <w:b/>
          <w:sz w:val="32"/>
          <w:szCs w:val="32"/>
        </w:rPr>
      </w:pPr>
      <w:r>
        <w:t xml:space="preserve">       </w:t>
      </w:r>
      <w:r>
        <w:rPr>
          <w:sz w:val="36"/>
          <w:szCs w:val="36"/>
        </w:rPr>
        <w:t xml:space="preserve">  </w:t>
      </w:r>
      <w:r>
        <w:rPr>
          <w:rFonts w:hint="default"/>
          <w:sz w:val="36"/>
          <w:szCs w:val="36"/>
          <w:lang w:val="en-IN"/>
        </w:rPr>
        <w:t>Hematological</w:t>
      </w:r>
      <w:r>
        <w:rPr>
          <w:sz w:val="36"/>
          <w:szCs w:val="36"/>
        </w:rPr>
        <w:t xml:space="preserve">  manifestations of Corona  virus  infection</w:t>
      </w:r>
    </w:p>
    <w:p>
      <w:r>
        <w:t xml:space="preserve"> </w:t>
      </w:r>
      <w:r>
        <w:rPr>
          <w:rFonts w:hint="default"/>
          <w:lang w:val="en-IN"/>
        </w:rPr>
        <w:t xml:space="preserve">     </w:t>
      </w:r>
      <w:r>
        <w:t xml:space="preserve">   Ramachandran  Muthiah,  Morning Star Hospital, Marthandam, Kanyakumari District  India</w:t>
      </w:r>
    </w:p>
    <w:p>
      <w:pPr>
        <w:rPr>
          <w:sz w:val="28"/>
          <w:szCs w:val="28"/>
        </w:rPr>
      </w:pPr>
      <w:r>
        <w:rPr>
          <w:sz w:val="28"/>
          <w:szCs w:val="28"/>
        </w:rPr>
        <w:t>Abstract</w:t>
      </w:r>
    </w:p>
    <w:p>
      <w:pPr>
        <w:jc w:val="both"/>
        <w:rPr>
          <w:rFonts w:hint="default"/>
        </w:rPr>
      </w:pPr>
      <w:r>
        <w:t xml:space="preserve">  </w:t>
      </w:r>
      <w:r>
        <w:rPr>
          <w:rFonts w:hint="default"/>
          <w:lang w:val="en-IN"/>
        </w:rPr>
        <w:t xml:space="preserve">   The corona virus is a single-stranded RNA virus and</w:t>
      </w:r>
      <w:r>
        <w:t xml:space="preserve"> the angiotensin converting enzyme 2 receptor </w:t>
      </w:r>
      <w:r>
        <w:rPr>
          <w:b/>
        </w:rPr>
        <w:t>(</w:t>
      </w:r>
      <w:r>
        <w:rPr>
          <w:b/>
          <w:bCs/>
        </w:rPr>
        <w:t>ACE-2</w:t>
      </w:r>
      <w:r>
        <w:t xml:space="preserve">), to which SARS-CoV-2 binds   for entry into cells,  found  in brain vascular  endothelium and smooth muscle and SARS-CoV-2 replicates in </w:t>
      </w:r>
      <w:r>
        <w:rPr>
          <w:rFonts w:hint="default"/>
          <w:lang w:val="en-IN"/>
        </w:rPr>
        <w:t>the</w:t>
      </w:r>
      <w:r>
        <w:t xml:space="preserve"> cells.</w:t>
      </w:r>
      <w:r>
        <w:rPr>
          <w:rFonts w:ascii="Georgia" w:hAnsi="Georgia" w:eastAsia="+mn-ea" w:cs="+mn-cs"/>
          <w:b/>
          <w:bCs/>
          <w:color w:val="000000"/>
          <w:kern w:val="24"/>
          <w:sz w:val="50"/>
          <w:szCs w:val="50"/>
        </w:rPr>
        <w:t xml:space="preserve"> </w:t>
      </w:r>
      <w:r>
        <w:rPr>
          <w:rFonts w:ascii="Georgia" w:hAnsi="Georgia" w:eastAsia="+mn-ea" w:cs="+mn-cs"/>
          <w:bCs/>
          <w:color w:val="000000"/>
          <w:kern w:val="24"/>
        </w:rPr>
        <w:t>It causes</w:t>
      </w:r>
      <w:r>
        <w:rPr>
          <w:rFonts w:ascii="Georgia" w:hAnsi="Georgia" w:eastAsia="+mn-ea" w:cs="+mn-cs"/>
          <w:b/>
          <w:bCs/>
          <w:color w:val="000000"/>
          <w:kern w:val="24"/>
        </w:rPr>
        <w:t xml:space="preserve"> </w:t>
      </w:r>
      <w:r>
        <w:rPr>
          <w:bCs/>
        </w:rPr>
        <w:t xml:space="preserve">oedema, </w:t>
      </w:r>
      <w:r>
        <w:rPr>
          <w:rFonts w:hint="default"/>
          <w:bCs/>
          <w:lang w:val="en-IN"/>
        </w:rPr>
        <w:t>cell</w:t>
      </w:r>
      <w:r>
        <w:rPr>
          <w:bCs/>
        </w:rPr>
        <w:t xml:space="preserve"> necrosis, and broad  gliocyte hyperplasia</w:t>
      </w:r>
      <w:r>
        <w:t>. The elevated expression of the cytokine, monokine induced by gamma interferon (known as MIG or CXC</w:t>
      </w:r>
      <w:r>
        <w:rPr>
          <w:rFonts w:hint="default"/>
          <w:lang w:val="en-IN"/>
        </w:rPr>
        <w:t xml:space="preserve"> </w:t>
      </w:r>
      <w:r>
        <w:t>L9), and with infiltration of monocytes and macrophages plus T cells  are consistent with viral CNS entry, triggering  the infiltration of immune cells and the release of cytokines and chemokines, which contribute to tissue damage. A vasculitis process similar to that for varicella zoster virus, in which viral replication in the cerebral arterial wall triggers local inflammation</w:t>
      </w:r>
      <w:r>
        <w:rPr>
          <w:rFonts w:hint="default"/>
          <w:lang w:val="en-IN"/>
        </w:rPr>
        <w:t>.</w:t>
      </w:r>
      <w:r>
        <w:t xml:space="preserve"> </w:t>
      </w:r>
      <w:r>
        <w:rPr>
          <w:rFonts w:hint="default"/>
        </w:rPr>
        <w:t>SARS (Severe acute respiratory syndrome ) -CoV-2 can cause damage to endothelial cells, activating inflammatory and thrombotic pathways. Endothelial cell infection or monocyte activation, upregulation of tissue factors, and the release of microparticles, which activate the thrombotic pathway and cause microangiopathy</w:t>
      </w:r>
      <w:r>
        <w:rPr>
          <w:rFonts w:hint="default"/>
          <w:lang w:val="en-IN"/>
        </w:rPr>
        <w:t>.</w:t>
      </w:r>
      <w:r>
        <w:t xml:space="preserve"> </w:t>
      </w:r>
      <w:r>
        <w:rPr>
          <w:rFonts w:hint="default"/>
          <w:lang w:val="en-IN"/>
        </w:rPr>
        <w:t>E</w:t>
      </w:r>
      <w:r>
        <w:t>ndothelial infection by SARS-CoV-2 and stroke are consistent with a virus-associated microangiopathic  process.</w:t>
      </w:r>
      <w:r>
        <w:rPr>
          <w:rFonts w:hint="default"/>
          <w:lang w:val="en-IN"/>
        </w:rPr>
        <w:t xml:space="preserve"> </w:t>
      </w:r>
      <w:r>
        <w:rPr>
          <w:rFonts w:hint="default" w:ascii="Georgia" w:hAnsi="Georgia" w:eastAsia="+mn-ea"/>
          <w:color w:val="000000"/>
          <w:kern w:val="24"/>
          <w:sz w:val="22"/>
          <w:szCs w:val="22"/>
        </w:rPr>
        <w:t>Monocyte activation is postulated to cont</w:t>
      </w:r>
      <w:r>
        <w:rPr>
          <w:rFonts w:hint="default" w:ascii="Georgia" w:hAnsi="Georgia" w:eastAsia="+mn-ea"/>
          <w:color w:val="000000"/>
          <w:kern w:val="24"/>
          <w:sz w:val="22"/>
          <w:szCs w:val="22"/>
          <w:lang w:val="en-IN"/>
        </w:rPr>
        <w:t>ribute</w:t>
      </w:r>
      <w:r>
        <w:rPr>
          <w:rFonts w:hint="default" w:ascii="Georgia" w:hAnsi="Georgia" w:eastAsia="+mn-ea"/>
          <w:color w:val="000000"/>
          <w:kern w:val="24"/>
          <w:sz w:val="22"/>
          <w:szCs w:val="22"/>
        </w:rPr>
        <w:t xml:space="preserve"> secondary haemophagocytic lymphohistiocytosis described in severe COVID-19.</w:t>
      </w:r>
      <w:r>
        <w:rPr>
          <w:rFonts w:hint="default" w:ascii="Georgia" w:hAnsi="Georgia" w:eastAsia="+mn-ea"/>
          <w:color w:val="000000"/>
          <w:kern w:val="24"/>
          <w:sz w:val="22"/>
          <w:szCs w:val="22"/>
          <w:lang w:val="en-IN"/>
        </w:rPr>
        <w:t xml:space="preserve"> It is a rare hyperinflammatory condition characterized by a severe hypercytokinaemia with multiorgan failure. </w:t>
      </w:r>
      <w:r>
        <w:rPr>
          <w:rFonts w:hint="default" w:ascii="Georgia" w:hAnsi="Georgia" w:eastAsia="+mn-ea"/>
          <w:color w:val="000000"/>
          <w:kern w:val="24"/>
          <w:sz w:val="22"/>
          <w:szCs w:val="22"/>
        </w:rPr>
        <w:t>Thrombocytopenia with elevated D-dimer and C-reactive protein</w:t>
      </w:r>
      <w:r>
        <w:rPr>
          <w:rFonts w:hint="default" w:ascii="Georgia" w:hAnsi="Georgia" w:eastAsia="+mn-ea"/>
          <w:color w:val="000000"/>
          <w:kern w:val="24"/>
          <w:sz w:val="22"/>
          <w:szCs w:val="22"/>
          <w:lang w:val="en-IN"/>
        </w:rPr>
        <w:t xml:space="preserve"> are the markers of</w:t>
      </w:r>
      <w:r>
        <w:rPr>
          <w:rFonts w:hint="default" w:ascii="Georgia" w:hAnsi="Georgia" w:eastAsia="+mn-ea"/>
          <w:color w:val="000000"/>
          <w:kern w:val="24"/>
          <w:sz w:val="22"/>
          <w:szCs w:val="22"/>
        </w:rPr>
        <w:t xml:space="preserve"> severe COVID-19</w:t>
      </w:r>
      <w:r>
        <w:rPr>
          <w:rFonts w:hint="default" w:ascii="Georgia" w:hAnsi="Georgia" w:eastAsia="+mn-ea"/>
          <w:color w:val="000000"/>
          <w:kern w:val="24"/>
          <w:sz w:val="22"/>
          <w:szCs w:val="22"/>
          <w:lang w:val="en-IN"/>
        </w:rPr>
        <w:t>.</w:t>
      </w:r>
      <w:r>
        <w:rPr>
          <w:rFonts w:hint="default" w:ascii="Georgia" w:hAnsi="Georgia" w:eastAsia="+mn-ea"/>
          <w:color w:val="000000"/>
          <w:kern w:val="24"/>
          <w:sz w:val="50"/>
          <w:szCs w:val="50"/>
        </w:rPr>
        <w:t xml:space="preserve"> </w:t>
      </w:r>
      <w:r>
        <w:t>Competitive  blockage of angiotensin-converting enzyme 2  by the SARS-CoV-2 virus down-regulates angiotensin-converting enzyme 2 expression leading to uncontrolled blood pressure and the enhanced possibility of cerebrovascular accidents. Spike surface glycoprotein plays a crucial role in immunopathology.</w:t>
      </w:r>
      <w:r>
        <w:rPr>
          <w:rFonts w:hint="default"/>
          <w:lang w:val="en-IN"/>
        </w:rPr>
        <w:t xml:space="preserve"> </w:t>
      </w:r>
      <w:r>
        <w:rPr>
          <w:rFonts w:hint="default"/>
        </w:rPr>
        <w:t>A unique furin-like cleavage site, on the spike protein, plays a crucial role in viral cell entry</w:t>
      </w:r>
      <w:r>
        <w:rPr>
          <w:rFonts w:hint="default"/>
          <w:lang w:val="en-IN"/>
        </w:rPr>
        <w:t xml:space="preserve">. Transmembrane protease, serine 2 (TMPRSS2) enzyme, is needed to activate the spike protein. </w:t>
      </w:r>
      <w:r>
        <w:rPr>
          <w:bCs/>
        </w:rPr>
        <w:t>A serine protease enzyme inhibitor blocks viral entry</w:t>
      </w:r>
      <w:r>
        <w:rPr>
          <w:b/>
          <w:bCs/>
        </w:rPr>
        <w:t xml:space="preserve"> </w:t>
      </w:r>
      <w:r>
        <w:t>into the host cell. This phenomenon can be exploited for developing a treatment of COVID-19, in the future</w:t>
      </w:r>
      <w:r>
        <w:rPr>
          <w:rFonts w:hint="default"/>
          <w:lang w:val="en-IN"/>
        </w:rPr>
        <w:t xml:space="preserve">. </w:t>
      </w:r>
      <w:r>
        <w:t xml:space="preserve">Treatment with intravenous immunoglobulins lead to complete or partial recovery in the majority. </w:t>
      </w:r>
      <w:r>
        <w:rPr>
          <w:rFonts w:hint="default"/>
        </w:rPr>
        <w:t> Immediate anticoagulation with low-molecular-weight heparin has been recommended for patients with COVID-19</w:t>
      </w:r>
      <w:r>
        <w:rPr>
          <w:rFonts w:hint="default"/>
          <w:lang w:val="en-IN"/>
        </w:rPr>
        <w:t xml:space="preserve"> </w:t>
      </w:r>
      <w:r>
        <w:rPr>
          <w:rFonts w:hint="default"/>
        </w:rPr>
        <w:t xml:space="preserve"> to reduce the risk of thrombotic disease.</w:t>
      </w:r>
    </w:p>
    <w:p>
      <w:pPr>
        <w:jc w:val="both"/>
      </w:pPr>
      <w:r>
        <w:t>E mail : cardioramachandran@yahoo.co.uk</w:t>
      </w:r>
    </w:p>
    <w:p>
      <w:pPr>
        <w:jc w:val="both"/>
      </w:pPr>
      <w:r>
        <w:t>Biography</w:t>
      </w:r>
    </w:p>
    <w:p>
      <w:pPr>
        <w:jc w:val="both"/>
      </w:pPr>
      <w:r>
        <w:t xml:space="preserve"> Ramachandran Muthiah, Consultant Physician &amp; Cardiologist, Zion hospital, Azhagiamandapam, Morning Star hospital, Marthandam, Kanyakumari District, India. Completed M.D. in General Medicine in 1996, D.M. in cardiology in 2003 under Tamil Nadu Dr.MGR Medical University, Chennai, India. Worked as medical officer in Rural health services for 5 years and in teaching category as Assistant Professor at Madras medical college, Coimbatore medical college, Thoothukudi medical college and </w:t>
      </w:r>
      <w:r>
        <w:rPr>
          <w:rFonts w:hint="default"/>
          <w:lang w:val="en-IN"/>
        </w:rPr>
        <w:t>Kanyakumari medical college.</w:t>
      </w:r>
      <w:r>
        <w:t xml:space="preserve"> Case Reports in Clinical Medicine (SCIRP) and Journal of Saudi Heart Association. Special research on Rheumatic fever and Endomyocardial fibrosis in tropical belts, Myxomas, Infective endocarditis, apical hypertrophic cardiomyopathy, Ebstein’s anomaly, Rheumatic Taussig-Bing Heart, Costello syndrome and Tetralogy of Fallot.</w:t>
      </w:r>
    </w:p>
    <w:p>
      <w:pPr>
        <w:autoSpaceDE w:val="0"/>
        <w:autoSpaceDN w:val="0"/>
        <w:adjustRightInd w:val="0"/>
        <w:rPr>
          <w:rFonts w:hint="default"/>
          <w:lang w:val="en-IN"/>
        </w:rPr>
      </w:pPr>
      <w:r>
        <w:rPr>
          <w:rFonts w:hint="default"/>
          <w:b/>
          <w:lang w:val="en-IN"/>
        </w:rPr>
        <w:t>P</w:t>
      </w:r>
      <w:r>
        <w:rPr>
          <w:b/>
          <w:lang w:val="en-NZ"/>
        </w:rPr>
        <w:t xml:space="preserve">resenting author details </w:t>
      </w:r>
      <w:r>
        <w:rPr>
          <w:b/>
          <w:lang w:val="en-NZ"/>
        </w:rPr>
        <w:br w:type="textWrapping"/>
      </w:r>
      <w:r>
        <w:rPr>
          <w:lang w:val="en-NZ"/>
        </w:rPr>
        <w:t xml:space="preserve">Full name: </w:t>
      </w:r>
      <w:r>
        <w:rPr>
          <w:rFonts w:hint="default"/>
          <w:lang w:val="en-IN"/>
        </w:rPr>
        <w:t xml:space="preserve">                              Ramachandran  Muthiah</w:t>
      </w:r>
      <w:r>
        <w:rPr>
          <w:lang w:val="en-NZ"/>
        </w:rPr>
        <w:br w:type="textWrapping"/>
      </w:r>
      <w:r>
        <w:rPr>
          <w:lang w:val="en-NZ"/>
        </w:rPr>
        <w:t>Contact number:</w:t>
      </w:r>
      <w:r>
        <w:rPr>
          <w:rFonts w:hint="default"/>
          <w:lang w:val="en-IN"/>
        </w:rPr>
        <w:t xml:space="preserve">                   +91  7598755201, Palaninta vilai, Keezhkulam-629193, Kanyakumari </w:t>
      </w:r>
    </w:p>
    <w:p>
      <w:pPr>
        <w:autoSpaceDE w:val="0"/>
        <w:autoSpaceDN w:val="0"/>
        <w:adjustRightInd w:val="0"/>
        <w:rPr>
          <w:rFonts w:hint="default"/>
          <w:lang w:val="en-IN"/>
        </w:rPr>
      </w:pPr>
      <w:r>
        <w:rPr>
          <w:rFonts w:hint="default"/>
          <w:lang w:val="en-IN"/>
        </w:rPr>
        <w:t xml:space="preserve">                                                                                   District, Tamil nadu  state, India (+914651-203014)</w:t>
      </w:r>
    </w:p>
    <w:p>
      <w:pPr>
        <w:jc w:val="both"/>
      </w:pPr>
      <w:r>
        <w:rPr>
          <w:lang w:val="en-NZ"/>
        </w:rPr>
        <w:t>Session</w:t>
      </w:r>
      <w:r>
        <w:rPr>
          <w:rFonts w:hint="default"/>
          <w:lang w:val="en-IN"/>
        </w:rPr>
        <w:t xml:space="preserve"> Hematology </w:t>
      </w:r>
      <w:bookmarkStart w:id="0" w:name="_GoBack"/>
      <w:bookmarkEnd w:id="0"/>
      <w:r>
        <w:rPr>
          <w:rFonts w:hint="default"/>
          <w:lang w:val="en-IN"/>
        </w:rPr>
        <w:t xml:space="preserve">and Covid 19 </w:t>
      </w:r>
      <w:r>
        <w:rPr>
          <w:lang w:val="en-NZ"/>
        </w:rPr>
        <w:t>number:</w:t>
      </w:r>
      <w:r>
        <w:rPr>
          <w:rFonts w:hint="default"/>
          <w:lang w:val="en-IN"/>
        </w:rPr>
        <w:t xml:space="preserve"> 1</w:t>
      </w:r>
      <w:r>
        <w:rPr>
          <w:lang w:val="en-NZ"/>
        </w:rPr>
        <w:br w:type="textWrapping"/>
      </w:r>
      <w:r>
        <w:rPr>
          <w:lang w:val="en-NZ"/>
        </w:rPr>
        <w:t>Category:</w:t>
      </w:r>
      <w:r>
        <w:rPr>
          <w:rFonts w:hint="default"/>
          <w:lang w:val="en-IN"/>
        </w:rPr>
        <w:t xml:space="preserve">                           </w:t>
      </w:r>
      <w:r>
        <w:rPr>
          <w:lang w:val="en-NZ"/>
        </w:rPr>
        <w:t xml:space="preserve"> (Oral presentation)</w:t>
      </w:r>
    </w:p>
    <w:p>
      <w:pPr>
        <w:jc w:val="both"/>
      </w:pPr>
    </w:p>
    <w:p/>
    <w:p>
      <w:pPr>
        <w:ind w:left="720"/>
      </w:pPr>
    </w:p>
    <w:p>
      <w:pPr>
        <w:ind w:left="720"/>
      </w:pPr>
    </w:p>
    <w:p>
      <w:pPr>
        <w:ind w:left="720"/>
      </w:pPr>
    </w:p>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mn-ea">
    <w:altName w:val="Times New Roman"/>
    <w:panose1 w:val="00000000000000000000"/>
    <w:charset w:val="00"/>
    <w:family w:val="roman"/>
    <w:pitch w:val="default"/>
    <w:sig w:usb0="00000000" w:usb1="00000000" w:usb2="00000000" w:usb3="00000000" w:csb0="00000000" w:csb1="00000000"/>
  </w:font>
  <w:font w:name="+mn-cs">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585"/>
    <w:rsid w:val="0004498F"/>
    <w:rsid w:val="001B0585"/>
    <w:rsid w:val="00786974"/>
    <w:rsid w:val="008424C8"/>
    <w:rsid w:val="008C49E1"/>
    <w:rsid w:val="008C7E37"/>
    <w:rsid w:val="00AA719B"/>
    <w:rsid w:val="00B15C3A"/>
    <w:rsid w:val="00CB6278"/>
    <w:rsid w:val="00D15830"/>
    <w:rsid w:val="00E060ED"/>
    <w:rsid w:val="3F7C26E6"/>
    <w:rsid w:val="572E33C9"/>
    <w:rsid w:val="5C1459A1"/>
    <w:rsid w:val="60CD229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uiPriority w:val="99"/>
    <w:pPr>
      <w:spacing w:after="0" w:line="240" w:lineRule="auto"/>
    </w:pPr>
    <w:rPr>
      <w:rFonts w:ascii="Tahoma" w:hAnsi="Tahoma" w:cs="Tahoma"/>
      <w:sz w:val="16"/>
      <w:szCs w:val="16"/>
    </w:rPr>
  </w:style>
  <w:style w:type="paragraph" w:styleId="5">
    <w:name w:val="List Paragraph"/>
    <w:basedOn w:val="1"/>
    <w:qFormat/>
    <w:uiPriority w:val="34"/>
    <w:pPr>
      <w:spacing w:after="0" w:line="240" w:lineRule="auto"/>
      <w:ind w:left="720"/>
      <w:contextualSpacing/>
    </w:pPr>
    <w:rPr>
      <w:rFonts w:ascii="Times New Roman" w:hAnsi="Times New Roman" w:eastAsia="Times New Roman" w:cs="Times New Roman"/>
      <w:sz w:val="24"/>
      <w:szCs w:val="24"/>
      <w:lang w:eastAsia="en-IN"/>
    </w:rPr>
  </w:style>
  <w:style w:type="character" w:customStyle="1" w:styleId="6">
    <w:name w:val="Balloon Text Char"/>
    <w:basedOn w:val="2"/>
    <w:link w:val="4"/>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73D7EE-6044-4E59-82D5-0719DA5C599C}">
  <ds:schemaRefs/>
</ds:datastoreItem>
</file>

<file path=docProps/app.xml><?xml version="1.0" encoding="utf-8"?>
<Properties xmlns="http://schemas.openxmlformats.org/officeDocument/2006/extended-properties" xmlns:vt="http://schemas.openxmlformats.org/officeDocument/2006/docPropsVTypes">
  <Template>Normal</Template>
  <Pages>2</Pages>
  <Words>645</Words>
  <Characters>3680</Characters>
  <Lines>30</Lines>
  <Paragraphs>8</Paragraphs>
  <TotalTime>5</TotalTime>
  <ScaleCrop>false</ScaleCrop>
  <LinksUpToDate>false</LinksUpToDate>
  <CharactersWithSpaces>4317</CharactersWithSpaces>
  <Application>WPS Office_11.2.0.10351_F1E327BC-269C-435d-A152-05C5408002CA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2021-04-24T11:42:00Z</dcterms:created>
  <dc:creator>sb</dc:creator>
  <cp:lastModifiedBy>PC</cp:lastModifiedBy>
  <dcterms:modified xsi:type="dcterms:W3CDTF">2021-11-11T15:00:07Z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9BAA8AA8428445DB8954CC9B170994CA</vt:lpwstr>
  </property>
</Properties>
</file>