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0235F" w14:textId="32A3803B" w:rsidR="00815F31" w:rsidRPr="00C30375" w:rsidRDefault="00EB09C8" w:rsidP="00C3037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Title: </w:t>
      </w:r>
      <w:r w:rsidR="283E2B65"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“Those that can heal, can harm”- Ceftriaxone induced h</w:t>
      </w: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a</w:t>
      </w:r>
      <w:r w:rsidR="283E2B65"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emolysis in children with Sickle cell Disease</w:t>
      </w:r>
    </w:p>
    <w:p w14:paraId="23AAE32F" w14:textId="64FBAABE" w:rsidR="00EB09C8" w:rsidRPr="00C30375" w:rsidRDefault="00EB09C8" w:rsidP="00C3037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Name: </w:t>
      </w:r>
      <w:proofErr w:type="spell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Dr.</w:t>
      </w:r>
      <w:proofErr w:type="spellEnd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Abinaya</w:t>
      </w:r>
      <w:proofErr w:type="spellEnd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Seenivasan</w:t>
      </w:r>
      <w:proofErr w:type="spellEnd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Dr.</w:t>
      </w:r>
      <w:proofErr w:type="spellEnd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Fatima </w:t>
      </w:r>
      <w:proofErr w:type="spell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Kagalwala</w:t>
      </w:r>
      <w:proofErr w:type="spellEnd"/>
    </w:p>
    <w:p w14:paraId="25D237A2" w14:textId="6D960B08" w:rsidR="00EB09C8" w:rsidRPr="00C30375" w:rsidRDefault="00EB09C8" w:rsidP="00C3037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Lister Hospital, Stevenage, Hertfordshire, United Kingdom, SG1 3SP.</w:t>
      </w:r>
      <w:proofErr w:type="gramEnd"/>
    </w:p>
    <w:p w14:paraId="1789AF00" w14:textId="07B4D03C" w:rsidR="00815F31" w:rsidRPr="00C30375" w:rsidRDefault="48B709CF" w:rsidP="00C3037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Abstract</w:t>
      </w:r>
    </w:p>
    <w:p w14:paraId="59C99D9B" w14:textId="1341BB9A" w:rsidR="00815F31" w:rsidRPr="00C30375" w:rsidRDefault="48B709CF" w:rsidP="00C3037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Objectives:</w:t>
      </w: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9EFAA73" w14:textId="7BFCDBE3" w:rsidR="00815F31" w:rsidRPr="00C30375" w:rsidRDefault="48B709CF" w:rsidP="00C303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sz w:val="24"/>
          <w:szCs w:val="24"/>
        </w:rPr>
        <w:t>To analyze the incidence of Ceftriaxone Induced Immune Hemolytic Anemia (CIIHA) in pediatric population and its significance among various genotypes of Sickle cell Disease (SCD).</w:t>
      </w:r>
    </w:p>
    <w:p w14:paraId="23FA2C7E" w14:textId="61DB6C4B" w:rsidR="00815F31" w:rsidRPr="00C30375" w:rsidRDefault="48B709CF" w:rsidP="00C3037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Methods:</w:t>
      </w: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C311D6" w14:textId="40DAA11A" w:rsidR="00815F31" w:rsidRPr="00C30375" w:rsidRDefault="48B709CF" w:rsidP="00C303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sz w:val="24"/>
          <w:szCs w:val="24"/>
        </w:rPr>
        <w:t>We performed a single-centered retrospective study for 5 years on ceftriaxone induced hemolysis in SCD population who were in our data base. Pre and post hemoglobin levels following intravenous Ceftriax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one was analyzed. T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>he duration of antibiotics and its effect in different SCD genotypes were studied.</w:t>
      </w:r>
    </w:p>
    <w:p w14:paraId="5BF1D946" w14:textId="0D582772" w:rsidR="00815F31" w:rsidRPr="00C30375" w:rsidRDefault="48B709CF" w:rsidP="00C3037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Results:</w:t>
      </w: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5618122" w14:textId="17B958C7" w:rsidR="00815F31" w:rsidRPr="00C30375" w:rsidRDefault="283E2B65" w:rsidP="00C303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sz w:val="24"/>
          <w:szCs w:val="24"/>
        </w:rPr>
        <w:t>We had 60 admissions among 26 patients and 58 admissions received more than 1 dose of ceftriaxone. The pre- and post-ceftriaxone hemoglobin levels were 85</w:t>
      </w:r>
      <w:r w:rsidR="009B044B">
        <w:rPr>
          <w:rFonts w:ascii="Times New Roman" w:eastAsia="Times New Roman" w:hAnsi="Times New Roman" w:cs="Times New Roman"/>
          <w:sz w:val="24"/>
          <w:szCs w:val="24"/>
        </w:rPr>
        <w:t>.5 and 83.7 mg/dl respectively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he hemoglobin values post ceftriaxone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HbSS</w:t>
      </w:r>
      <w:proofErr w:type="spellEnd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HbSC</w:t>
      </w:r>
      <w:proofErr w:type="spellEnd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 genotypes 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did not show any difference. Despite receiving 10 doses of ceftriaxone none of them showed acute clinical deterioration. </w:t>
      </w:r>
    </w:p>
    <w:p w14:paraId="4745D997" w14:textId="31A31B08" w:rsidR="00815F31" w:rsidRPr="00C30375" w:rsidRDefault="48B709CF" w:rsidP="00C303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Discussion: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DB6174" w14:textId="7BF16BF1" w:rsidR="00815F31" w:rsidRPr="00C30375" w:rsidRDefault="283E2B65" w:rsidP="00C303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Increasing case reports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on CIIHA in children 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>with SCD causes wariness of using the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 most preferred antibiotic.  As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 actual incide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nce of CIIHA remains unknown, w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>e retrospectively analyze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 the effect of ceftriaxone in children with SCD. Among 60 admissions none of them showed clinical deterioration and the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pre and 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post ceftriaxone hemoglobin levels were similar.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he number of doses did not have any effect on the hemoglobin levels. </w:t>
      </w:r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There 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were no appreciable differences in hemolysis between the </w:t>
      </w:r>
      <w:proofErr w:type="spellStart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HbSS</w:t>
      </w:r>
      <w:proofErr w:type="spellEnd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>HbSC</w:t>
      </w:r>
      <w:proofErr w:type="spellEnd"/>
      <w:r w:rsidR="00EB09C8" w:rsidRPr="00C30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groups.  </w:t>
      </w:r>
    </w:p>
    <w:p w14:paraId="087BF328" w14:textId="420585EE" w:rsidR="00815F31" w:rsidRPr="00C30375" w:rsidRDefault="283E2B65" w:rsidP="00C303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0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Conclusion:</w:t>
      </w:r>
      <w:r w:rsidRPr="00C30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EAB9C9" w14:textId="7108D27F" w:rsidR="00815F31" w:rsidRPr="00C30375" w:rsidRDefault="283E2B65" w:rsidP="008A3A7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3037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Although the complication of </w:t>
      </w:r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CIIHA should be borne in mind, it should not be a limiting factor to offer ceftriaxone and would be premature to defer in the SCD population. Larger multi-centric trials are required to understand the actual incidence of CIIHA in paediatric population.</w:t>
      </w:r>
    </w:p>
    <w:p w14:paraId="4B070F72" w14:textId="7F446A8D" w:rsidR="00EB09C8" w:rsidRPr="00C30375" w:rsidRDefault="00EB09C8" w:rsidP="00C3037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</w:pPr>
      <w:r w:rsidRPr="00C3037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>Biography:</w:t>
      </w:r>
    </w:p>
    <w:p w14:paraId="77C70837" w14:textId="7A03DD2B" w:rsidR="00EB09C8" w:rsidRPr="00C30375" w:rsidRDefault="00EB09C8" w:rsidP="008A3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Dr.</w:t>
      </w:r>
      <w:proofErr w:type="spellEnd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Abinaya</w:t>
      </w:r>
      <w:proofErr w:type="spellEnd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Seenivasan</w:t>
      </w:r>
      <w:proofErr w:type="spellEnd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has done under</w:t>
      </w:r>
      <w:r w:rsidR="00C30375"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graduation and post-</w:t>
      </w:r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graduation (Diploma in Child Health and DNB Paediatrics from India. She also holds MRCPCH since 2019. She is currently working as a senior clinical Fellow at Lister Ho</w:t>
      </w:r>
      <w:r w:rsidR="008A3A75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pital</w:t>
      </w:r>
      <w:r w:rsidR="00C30375"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, UK.</w:t>
      </w:r>
    </w:p>
    <w:p w14:paraId="1E9A890F" w14:textId="552969AC" w:rsidR="00C30375" w:rsidRDefault="00C30375" w:rsidP="008A3A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Dr.</w:t>
      </w:r>
      <w:proofErr w:type="spellEnd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Fatima </w:t>
      </w:r>
      <w:proofErr w:type="spellStart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Kagalwala</w:t>
      </w:r>
      <w:proofErr w:type="spellEnd"/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curren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ly working as Consultant Paediatrician, currently the paediatric h</w:t>
      </w:r>
      <w:r w:rsidR="008A3A75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C30375">
        <w:rPr>
          <w:rFonts w:ascii="Times New Roman" w:eastAsia="Times New Roman" w:hAnsi="Times New Roman" w:cs="Times New Roman"/>
          <w:sz w:val="24"/>
          <w:szCs w:val="24"/>
          <w:lang w:val="en-GB"/>
        </w:rPr>
        <w:t>ematology lead and also the Clinical Governance lead for paediatrics at Lister Hospital Stevenage UK. She also holds the honorary clinical Lecturer post for UCLH medical students.</w:t>
      </w:r>
    </w:p>
    <w:p w14:paraId="1F4CDBB8" w14:textId="2E1083D1" w:rsidR="00C30375" w:rsidRDefault="00C30375" w:rsidP="00C30375">
      <w:pPr>
        <w:pStyle w:val="NormalWeb"/>
        <w:spacing w:line="360" w:lineRule="auto"/>
      </w:pPr>
      <w:r w:rsidRPr="00C30375">
        <w:rPr>
          <w:b/>
          <w:u w:val="single"/>
        </w:rPr>
        <w:t>Presenting author details</w:t>
      </w:r>
      <w:r>
        <w:rPr>
          <w:b/>
          <w:u w:val="single"/>
        </w:rPr>
        <w:t>:</w:t>
      </w:r>
      <w:r>
        <w:t xml:space="preserve">  </w:t>
      </w:r>
    </w:p>
    <w:p w14:paraId="5B7C63F4" w14:textId="77777777" w:rsidR="005526CD" w:rsidRDefault="00C30375" w:rsidP="00C30375">
      <w:pPr>
        <w:pStyle w:val="NormalWeb"/>
        <w:spacing w:line="360" w:lineRule="auto"/>
      </w:pPr>
      <w:r>
        <w:t xml:space="preserve">Full name:  </w:t>
      </w:r>
      <w:proofErr w:type="spellStart"/>
      <w:r>
        <w:t>Dr.</w:t>
      </w:r>
      <w:proofErr w:type="spellEnd"/>
      <w:r>
        <w:t xml:space="preserve"> </w:t>
      </w:r>
      <w:proofErr w:type="spellStart"/>
      <w:r>
        <w:t>Abinaya</w:t>
      </w:r>
      <w:proofErr w:type="spellEnd"/>
      <w:r>
        <w:t xml:space="preserve"> </w:t>
      </w:r>
      <w:proofErr w:type="spellStart"/>
      <w:r>
        <w:t>Seenivasan</w:t>
      </w:r>
      <w:proofErr w:type="spellEnd"/>
    </w:p>
    <w:p w14:paraId="3FEBF043" w14:textId="4E135CD5" w:rsidR="00C30375" w:rsidRDefault="00C30375" w:rsidP="00C30375">
      <w:pPr>
        <w:pStyle w:val="NormalWeb"/>
        <w:spacing w:line="360" w:lineRule="auto"/>
      </w:pPr>
      <w:r>
        <w:t>Contact number: +44-07586928872</w:t>
      </w:r>
    </w:p>
    <w:p w14:paraId="4AE240E8" w14:textId="21278132" w:rsidR="00C30375" w:rsidRDefault="00C30375" w:rsidP="00C30375">
      <w:pPr>
        <w:pStyle w:val="NormalWeb"/>
        <w:spacing w:line="360" w:lineRule="auto"/>
      </w:pPr>
      <w:r>
        <w:t>Twitter account: N/A</w:t>
      </w:r>
    </w:p>
    <w:p w14:paraId="43FC2681" w14:textId="2D3C15FA" w:rsidR="00C30375" w:rsidRDefault="00C30375" w:rsidP="00C30375">
      <w:pPr>
        <w:pStyle w:val="NormalWeb"/>
        <w:spacing w:line="360" w:lineRule="auto"/>
      </w:pPr>
      <w:r>
        <w:t>Linked In account: N/A</w:t>
      </w:r>
    </w:p>
    <w:p w14:paraId="20B64872" w14:textId="7D6E03E9" w:rsidR="00C30375" w:rsidRDefault="00C30375" w:rsidP="00C30375">
      <w:pPr>
        <w:pStyle w:val="NormalWeb"/>
        <w:spacing w:line="360" w:lineRule="auto"/>
      </w:pPr>
      <w:r>
        <w:t xml:space="preserve">Session name/ number: </w:t>
      </w:r>
      <w:proofErr w:type="spellStart"/>
      <w:r>
        <w:t>Haemoglobinopathies</w:t>
      </w:r>
      <w:proofErr w:type="spellEnd"/>
    </w:p>
    <w:p w14:paraId="3B5DFA01" w14:textId="0C0F33E9" w:rsidR="00C30375" w:rsidRDefault="008F1606" w:rsidP="00C30375">
      <w:pPr>
        <w:pStyle w:val="NormalWeb"/>
        <w:spacing w:line="360" w:lineRule="auto"/>
      </w:pPr>
      <w:r>
        <w:t xml:space="preserve">Category: </w:t>
      </w:r>
      <w:bookmarkStart w:id="0" w:name="_GoBack"/>
      <w:bookmarkEnd w:id="0"/>
      <w:r w:rsidR="00C30375">
        <w:t xml:space="preserve">Poster presentation </w:t>
      </w:r>
    </w:p>
    <w:p w14:paraId="17071396" w14:textId="77777777" w:rsidR="00C30375" w:rsidRPr="00C30375" w:rsidRDefault="00C30375" w:rsidP="00C30375">
      <w:pPr>
        <w:spacing w:line="36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val="en-GB" w:eastAsia="en-GB"/>
        </w:rPr>
      </w:pPr>
    </w:p>
    <w:p w14:paraId="250548D8" w14:textId="5F49116C" w:rsidR="00C30375" w:rsidRPr="00C30375" w:rsidRDefault="00C30375" w:rsidP="00C3037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78E63" w14:textId="0F566F62" w:rsidR="00815F31" w:rsidRPr="00C30375" w:rsidRDefault="00815F31" w:rsidP="00C303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15F31" w:rsidRPr="00C30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6DED0"/>
    <w:rsid w:val="005526CD"/>
    <w:rsid w:val="00815F31"/>
    <w:rsid w:val="008A3A75"/>
    <w:rsid w:val="008F1606"/>
    <w:rsid w:val="009B044B"/>
    <w:rsid w:val="00C30375"/>
    <w:rsid w:val="00EB09C8"/>
    <w:rsid w:val="2426DED0"/>
    <w:rsid w:val="283E2B65"/>
    <w:rsid w:val="48B7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6DE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9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0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83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53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62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13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649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160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81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170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158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947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122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265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5588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891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550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1703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5330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7478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8731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77989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29390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21441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6073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445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916450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03695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23106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139923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438390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Abinaya Seenivasan</dc:creator>
  <cp:keywords/>
  <dc:description/>
  <cp:lastModifiedBy>Abinaya Seenivasan</cp:lastModifiedBy>
  <cp:revision>5</cp:revision>
  <dcterms:created xsi:type="dcterms:W3CDTF">2021-09-20T20:13:00Z</dcterms:created>
  <dcterms:modified xsi:type="dcterms:W3CDTF">2021-09-25T03:14:00Z</dcterms:modified>
</cp:coreProperties>
</file>