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678" w:rsidRPr="00C55678" w:rsidRDefault="00C55678" w:rsidP="00C55678">
      <w:pPr>
        <w:jc w:val="both"/>
        <w:rPr>
          <w:rStyle w:val="tlid-translation"/>
          <w:rFonts w:ascii="unicode" w:hAnsi="unicode"/>
          <w:lang w:val="en"/>
        </w:rPr>
      </w:pPr>
      <w:proofErr w:type="gramStart"/>
      <w:r w:rsidRPr="00C55678">
        <w:rPr>
          <w:rStyle w:val="tlid-translation"/>
          <w:rFonts w:ascii="unicode" w:hAnsi="unicode"/>
          <w:lang w:val="en"/>
        </w:rPr>
        <w:t>HIGH FREQUENCY OF ANTI-D ANTIBODIES IN MEN</w:t>
      </w:r>
      <w:r w:rsidRPr="00C55678">
        <w:rPr>
          <w:rStyle w:val="tlid-translation"/>
          <w:rFonts w:ascii="unicode" w:hAnsi="unicode"/>
          <w:lang w:val="en-US"/>
        </w:rPr>
        <w:t xml:space="preserve"> </w:t>
      </w:r>
      <w:r w:rsidRPr="00C55678">
        <w:rPr>
          <w:rStyle w:val="tlid-translation"/>
          <w:rFonts w:ascii="unicode" w:hAnsi="unicode" w:hint="eastAsia"/>
          <w:lang w:val="en-US"/>
        </w:rPr>
        <w:t>–</w:t>
      </w:r>
      <w:r w:rsidRPr="00C55678">
        <w:rPr>
          <w:rStyle w:val="tlid-translation"/>
          <w:rFonts w:ascii="unicode" w:hAnsi="unicode"/>
          <w:lang w:val="en"/>
        </w:rPr>
        <w:t xml:space="preserve"> WHAT TO DO?</w:t>
      </w:r>
      <w:proofErr w:type="gramEnd"/>
    </w:p>
    <w:p w:rsidR="00C55678" w:rsidRPr="00BA569B" w:rsidRDefault="00C55678" w:rsidP="00C55678">
      <w:pPr>
        <w:jc w:val="both"/>
        <w:rPr>
          <w:rFonts w:ascii="unicode" w:hAnsi="unicode"/>
          <w:b/>
          <w:vertAlign w:val="superscript"/>
          <w:lang w:val="en"/>
        </w:rPr>
      </w:pPr>
      <w:r w:rsidRPr="00BA569B">
        <w:rPr>
          <w:rFonts w:ascii="unicode" w:hAnsi="unicode"/>
          <w:lang w:val="en"/>
        </w:rPr>
        <w:br/>
      </w:r>
      <w:proofErr w:type="spellStart"/>
      <w:r w:rsidRPr="00BA569B">
        <w:rPr>
          <w:rStyle w:val="tlid-translation"/>
          <w:rFonts w:ascii="unicode" w:hAnsi="unicode"/>
          <w:lang w:val="en"/>
        </w:rPr>
        <w:t>Donskov</w:t>
      </w:r>
      <w:proofErr w:type="spellEnd"/>
      <w:r w:rsidRPr="00BA569B">
        <w:rPr>
          <w:rStyle w:val="tlid-translation"/>
          <w:rFonts w:ascii="unicode" w:hAnsi="unicode"/>
          <w:lang w:val="en"/>
        </w:rPr>
        <w:t xml:space="preserve"> S.I.</w:t>
      </w:r>
      <w:r w:rsidRPr="00BA569B">
        <w:rPr>
          <w:rStyle w:val="tlid-translation"/>
          <w:rFonts w:ascii="unicode" w:hAnsi="unicode"/>
          <w:vertAlign w:val="superscript"/>
          <w:lang w:val="en"/>
        </w:rPr>
        <w:t>1</w:t>
      </w:r>
      <w:r w:rsidRPr="00BA569B">
        <w:rPr>
          <w:rStyle w:val="tlid-translation"/>
          <w:rFonts w:ascii="unicode" w:hAnsi="unicode"/>
          <w:lang w:val="en"/>
        </w:rPr>
        <w:t xml:space="preserve">, </w:t>
      </w:r>
      <w:proofErr w:type="spellStart"/>
      <w:r w:rsidRPr="00BA569B">
        <w:rPr>
          <w:rStyle w:val="tlid-translation"/>
          <w:rFonts w:ascii="unicode" w:hAnsi="unicode"/>
          <w:lang w:val="en"/>
        </w:rPr>
        <w:t>Gusachenko</w:t>
      </w:r>
      <w:proofErr w:type="spellEnd"/>
      <w:r w:rsidRPr="00BA569B">
        <w:rPr>
          <w:rStyle w:val="tlid-translation"/>
          <w:rFonts w:ascii="unicode" w:hAnsi="unicode"/>
          <w:lang w:val="en"/>
        </w:rPr>
        <w:t xml:space="preserve"> L.A.</w:t>
      </w:r>
      <w:r w:rsidRPr="00BA569B">
        <w:rPr>
          <w:rStyle w:val="tlid-translation"/>
          <w:rFonts w:ascii="unicode" w:hAnsi="unicode"/>
          <w:vertAlign w:val="superscript"/>
          <w:lang w:val="en"/>
        </w:rPr>
        <w:t>2</w:t>
      </w:r>
      <w:r w:rsidRPr="00BA569B">
        <w:rPr>
          <w:rStyle w:val="tlid-translation"/>
          <w:rFonts w:ascii="unicode" w:hAnsi="unicode"/>
          <w:lang w:val="en"/>
        </w:rPr>
        <w:t xml:space="preserve">, </w:t>
      </w:r>
      <w:proofErr w:type="spellStart"/>
      <w:r w:rsidRPr="00BA569B">
        <w:rPr>
          <w:rStyle w:val="tlid-translation"/>
          <w:rFonts w:ascii="unicode" w:hAnsi="unicode"/>
          <w:lang w:val="en"/>
        </w:rPr>
        <w:t>Zinovieva</w:t>
      </w:r>
      <w:proofErr w:type="spellEnd"/>
      <w:r w:rsidRPr="00BA569B">
        <w:rPr>
          <w:rStyle w:val="tlid-translation"/>
          <w:rFonts w:ascii="unicode" w:hAnsi="unicode"/>
          <w:lang w:val="en"/>
        </w:rPr>
        <w:t xml:space="preserve"> A.V.</w:t>
      </w:r>
      <w:r w:rsidRPr="00BA569B">
        <w:rPr>
          <w:rStyle w:val="tlid-translation"/>
          <w:rFonts w:ascii="unicode" w:hAnsi="unicode"/>
          <w:vertAlign w:val="superscript"/>
          <w:lang w:val="en"/>
        </w:rPr>
        <w:t>3</w:t>
      </w:r>
    </w:p>
    <w:p w:rsidR="00C55678" w:rsidRPr="00BA569B" w:rsidRDefault="00C55678" w:rsidP="00C55678">
      <w:pPr>
        <w:jc w:val="both"/>
        <w:rPr>
          <w:rFonts w:ascii="unicode" w:hAnsi="unicode"/>
          <w:lang w:val="en"/>
        </w:rPr>
      </w:pPr>
      <w:r w:rsidRPr="00BA569B">
        <w:rPr>
          <w:rFonts w:ascii="unicode" w:hAnsi="unicode"/>
          <w:vertAlign w:val="superscript"/>
          <w:lang w:val="en-US"/>
        </w:rPr>
        <w:t>1</w:t>
      </w:r>
      <w:r w:rsidRPr="00BA569B">
        <w:rPr>
          <w:rFonts w:ascii="unicode" w:hAnsi="unicode"/>
          <w:lang w:val="en"/>
        </w:rPr>
        <w:t>Evdokimov Moscow State Medical Dental University, Moscow</w:t>
      </w:r>
      <w:r w:rsidRPr="00BA569B">
        <w:rPr>
          <w:rFonts w:ascii="unicode" w:hAnsi="unicode"/>
          <w:lang w:val="en-US"/>
        </w:rPr>
        <w:t>, Russia</w:t>
      </w:r>
      <w:r w:rsidRPr="00BA569B">
        <w:rPr>
          <w:rFonts w:ascii="unicode" w:hAnsi="unicode"/>
          <w:lang w:val="en"/>
        </w:rPr>
        <w:t xml:space="preserve"> </w:t>
      </w:r>
    </w:p>
    <w:p w:rsidR="00C55678" w:rsidRPr="00BA569B" w:rsidRDefault="00C55678" w:rsidP="00C55678">
      <w:pPr>
        <w:jc w:val="both"/>
        <w:rPr>
          <w:rStyle w:val="tlid-translation"/>
          <w:rFonts w:ascii="unicode" w:hAnsi="unicode"/>
          <w:lang w:val="en-US"/>
        </w:rPr>
      </w:pPr>
      <w:r w:rsidRPr="00BA569B">
        <w:rPr>
          <w:rStyle w:val="tlid-translation"/>
          <w:rFonts w:ascii="unicode" w:hAnsi="unicode"/>
          <w:vertAlign w:val="superscript"/>
          <w:lang w:val="en"/>
        </w:rPr>
        <w:t>2</w:t>
      </w:r>
      <w:r w:rsidRPr="00BA569B">
        <w:rPr>
          <w:rStyle w:val="tlid-translation"/>
          <w:rFonts w:ascii="unicode" w:hAnsi="unicode"/>
          <w:lang w:val="en"/>
        </w:rPr>
        <w:t>Blood Transfusion Station, Surgut, Russia</w:t>
      </w:r>
    </w:p>
    <w:p w:rsidR="00C55678" w:rsidRPr="00BA569B" w:rsidRDefault="00C55678" w:rsidP="00C55678">
      <w:pPr>
        <w:jc w:val="both"/>
        <w:rPr>
          <w:rStyle w:val="tlid-translation"/>
          <w:rFonts w:ascii="unicode" w:hAnsi="unicode"/>
          <w:lang w:val="en"/>
        </w:rPr>
      </w:pPr>
      <w:r w:rsidRPr="00BA569B">
        <w:rPr>
          <w:rStyle w:val="tlid-translation"/>
          <w:rFonts w:ascii="unicode" w:hAnsi="unicode"/>
          <w:vertAlign w:val="superscript"/>
          <w:lang w:val="en"/>
        </w:rPr>
        <w:t>3</w:t>
      </w:r>
      <w:r w:rsidRPr="00BA569B">
        <w:rPr>
          <w:rStyle w:val="tlid-translation"/>
          <w:rFonts w:ascii="unicode" w:hAnsi="unicode"/>
          <w:lang w:val="en"/>
        </w:rPr>
        <w:t>District Clinical Hospital, Khanty-</w:t>
      </w:r>
      <w:proofErr w:type="spellStart"/>
      <w:r w:rsidRPr="00BA569B">
        <w:rPr>
          <w:rStyle w:val="tlid-translation"/>
          <w:rFonts w:ascii="unicode" w:hAnsi="unicode"/>
          <w:lang w:val="en"/>
        </w:rPr>
        <w:t>Mansiysk</w:t>
      </w:r>
      <w:proofErr w:type="spellEnd"/>
      <w:r w:rsidRPr="00BA569B">
        <w:rPr>
          <w:rStyle w:val="tlid-translation"/>
          <w:rFonts w:ascii="unicode" w:hAnsi="unicode"/>
          <w:lang w:val="en"/>
        </w:rPr>
        <w:t>, Russia</w:t>
      </w:r>
    </w:p>
    <w:p w:rsidR="00C55678" w:rsidRPr="00BA569B" w:rsidRDefault="00C55678" w:rsidP="00C55678">
      <w:pPr>
        <w:jc w:val="both"/>
        <w:rPr>
          <w:rFonts w:ascii="unicode" w:hAnsi="unicode"/>
          <w:lang w:val="en-US"/>
        </w:rPr>
      </w:pPr>
    </w:p>
    <w:p w:rsidR="00C55678" w:rsidRPr="002B4227" w:rsidRDefault="00C55678" w:rsidP="00C55678">
      <w:pPr>
        <w:ind w:firstLine="567"/>
        <w:jc w:val="both"/>
        <w:rPr>
          <w:sz w:val="24"/>
          <w:szCs w:val="24"/>
          <w:lang w:val="en-US"/>
        </w:rPr>
      </w:pPr>
      <w:proofErr w:type="gramStart"/>
      <w:r w:rsidRPr="0038791E">
        <w:rPr>
          <w:b/>
          <w:sz w:val="24"/>
          <w:szCs w:val="24"/>
          <w:lang w:val="en-US"/>
        </w:rPr>
        <w:t>Introduction</w:t>
      </w:r>
      <w:r w:rsidR="0038791E" w:rsidRPr="0038791E">
        <w:rPr>
          <w:b/>
          <w:sz w:val="24"/>
          <w:szCs w:val="24"/>
          <w:lang w:val="en-US"/>
        </w:rPr>
        <w:t>.</w:t>
      </w:r>
      <w:proofErr w:type="gramEnd"/>
      <w:r w:rsidRPr="002B4227">
        <w:rPr>
          <w:sz w:val="24"/>
          <w:szCs w:val="24"/>
          <w:lang w:val="en-US"/>
        </w:rPr>
        <w:t xml:space="preserve"> </w:t>
      </w:r>
      <w:proofErr w:type="spellStart"/>
      <w:r w:rsidRPr="002B4227">
        <w:rPr>
          <w:sz w:val="24"/>
          <w:szCs w:val="24"/>
          <w:lang w:val="en-US"/>
        </w:rPr>
        <w:t>Alloimmunization</w:t>
      </w:r>
      <w:proofErr w:type="spellEnd"/>
      <w:r w:rsidRPr="002B4227">
        <w:rPr>
          <w:sz w:val="24"/>
          <w:szCs w:val="24"/>
          <w:lang w:val="en-US"/>
        </w:rPr>
        <w:t xml:space="preserve"> of recipients with D antigen of the Rhesus system, as most </w:t>
      </w:r>
      <w:proofErr w:type="spellStart"/>
      <w:r w:rsidRPr="002B4227">
        <w:rPr>
          <w:sz w:val="24"/>
          <w:szCs w:val="24"/>
          <w:lang w:val="en-US"/>
        </w:rPr>
        <w:t>transfusiologists</w:t>
      </w:r>
      <w:proofErr w:type="spellEnd"/>
      <w:r w:rsidRPr="002B4227">
        <w:rPr>
          <w:sz w:val="24"/>
          <w:szCs w:val="24"/>
          <w:lang w:val="en-US"/>
        </w:rPr>
        <w:t xml:space="preserve"> around the world believe, is not a serious problem, since donor and recipient antigen D matching prevents this undesirable complication. However, the analysis of the structure of </w:t>
      </w:r>
      <w:proofErr w:type="spellStart"/>
      <w:r w:rsidRPr="002B4227">
        <w:rPr>
          <w:sz w:val="24"/>
          <w:szCs w:val="24"/>
          <w:lang w:val="en-US"/>
        </w:rPr>
        <w:t>alloimmunization</w:t>
      </w:r>
      <w:proofErr w:type="spellEnd"/>
      <w:r w:rsidRPr="002B4227">
        <w:rPr>
          <w:sz w:val="24"/>
          <w:szCs w:val="24"/>
          <w:lang w:val="en-US"/>
        </w:rPr>
        <w:t xml:space="preserve"> of the population, primarily the male contingent, gives reason to doubt the adequacy of this generally accepted way to ensure the safety of blood transfusion.</w:t>
      </w:r>
    </w:p>
    <w:p w:rsidR="00B955D3" w:rsidRPr="002B4227" w:rsidRDefault="00D72B6B" w:rsidP="00B955D3">
      <w:pPr>
        <w:rPr>
          <w:rStyle w:val="tlid-translation"/>
          <w:sz w:val="24"/>
          <w:szCs w:val="24"/>
          <w:lang w:val="en"/>
        </w:rPr>
      </w:pPr>
      <w:proofErr w:type="gramStart"/>
      <w:r w:rsidRPr="0038791E">
        <w:rPr>
          <w:b/>
          <w:sz w:val="24"/>
          <w:szCs w:val="24"/>
          <w:lang w:val="en-US"/>
        </w:rPr>
        <w:t>Aims</w:t>
      </w:r>
      <w:r w:rsidR="0038791E" w:rsidRPr="0038791E">
        <w:rPr>
          <w:b/>
          <w:sz w:val="24"/>
          <w:szCs w:val="24"/>
          <w:lang w:val="en-US"/>
        </w:rPr>
        <w:t>.</w:t>
      </w:r>
      <w:proofErr w:type="gramEnd"/>
      <w:r w:rsidR="00B955D3" w:rsidRPr="002B4227">
        <w:rPr>
          <w:rStyle w:val="tlid-translation"/>
          <w:sz w:val="24"/>
          <w:szCs w:val="24"/>
          <w:lang w:val="en"/>
        </w:rPr>
        <w:t xml:space="preserve"> </w:t>
      </w:r>
      <w:r w:rsidRPr="002B4227">
        <w:rPr>
          <w:rStyle w:val="tlid-translation"/>
          <w:sz w:val="24"/>
          <w:szCs w:val="24"/>
        </w:rPr>
        <w:t>Т</w:t>
      </w:r>
      <w:r w:rsidR="00B955D3" w:rsidRPr="002B4227">
        <w:rPr>
          <w:rStyle w:val="tlid-translation"/>
          <w:sz w:val="24"/>
          <w:szCs w:val="24"/>
          <w:lang w:val="en"/>
        </w:rPr>
        <w:t xml:space="preserve">o analyze the structure of </w:t>
      </w:r>
      <w:proofErr w:type="spellStart"/>
      <w:r w:rsidR="00B955D3" w:rsidRPr="002B4227">
        <w:rPr>
          <w:rStyle w:val="tlid-translation"/>
          <w:sz w:val="24"/>
          <w:szCs w:val="24"/>
          <w:lang w:val="en"/>
        </w:rPr>
        <w:t>alloimmunization</w:t>
      </w:r>
      <w:proofErr w:type="spellEnd"/>
      <w:r w:rsidR="00B955D3" w:rsidRPr="002B4227">
        <w:rPr>
          <w:rStyle w:val="tlid-translation"/>
          <w:sz w:val="24"/>
          <w:szCs w:val="24"/>
          <w:lang w:val="en"/>
        </w:rPr>
        <w:t xml:space="preserve"> of men with red blood cell antigens.</w:t>
      </w:r>
    </w:p>
    <w:p w:rsidR="00B955D3" w:rsidRPr="002B4227" w:rsidRDefault="00B955D3" w:rsidP="00B955D3">
      <w:pPr>
        <w:rPr>
          <w:rStyle w:val="tlid-translation"/>
          <w:sz w:val="24"/>
          <w:szCs w:val="24"/>
          <w:lang w:val="en"/>
        </w:rPr>
      </w:pPr>
      <w:proofErr w:type="gramStart"/>
      <w:r w:rsidRPr="0038791E">
        <w:rPr>
          <w:rStyle w:val="tlid-translation"/>
          <w:b/>
          <w:sz w:val="24"/>
          <w:szCs w:val="24"/>
          <w:lang w:val="en"/>
        </w:rPr>
        <w:t>Material and method.</w:t>
      </w:r>
      <w:proofErr w:type="gramEnd"/>
      <w:r w:rsidRPr="002B4227">
        <w:rPr>
          <w:rStyle w:val="tlid-translation"/>
          <w:sz w:val="24"/>
          <w:szCs w:val="24"/>
          <w:lang w:val="en"/>
        </w:rPr>
        <w:t xml:space="preserve"> From the databases of Surgut and Khanty-</w:t>
      </w:r>
      <w:proofErr w:type="spellStart"/>
      <w:r w:rsidRPr="002B4227">
        <w:rPr>
          <w:rStyle w:val="tlid-translation"/>
          <w:sz w:val="24"/>
          <w:szCs w:val="24"/>
          <w:lang w:val="en"/>
        </w:rPr>
        <w:t>Mansiysk</w:t>
      </w:r>
      <w:proofErr w:type="spellEnd"/>
      <w:r w:rsidRPr="002B4227">
        <w:rPr>
          <w:rStyle w:val="tlid-translation"/>
          <w:sz w:val="24"/>
          <w:szCs w:val="24"/>
          <w:lang w:val="en"/>
        </w:rPr>
        <w:t xml:space="preserve"> for 2016–2019 347 men were selected (39 patients and 308 donors) who had antibodies against red blood cells </w:t>
      </w:r>
      <w:proofErr w:type="gramStart"/>
      <w:r w:rsidRPr="002B4227">
        <w:rPr>
          <w:rStyle w:val="tlid-translation"/>
          <w:sz w:val="24"/>
          <w:szCs w:val="24"/>
          <w:lang w:val="en"/>
        </w:rPr>
        <w:t>of various specificity</w:t>
      </w:r>
      <w:proofErr w:type="gramEnd"/>
      <w:r w:rsidRPr="002B4227">
        <w:rPr>
          <w:rStyle w:val="tlid-translation"/>
          <w:sz w:val="24"/>
          <w:szCs w:val="24"/>
          <w:lang w:val="en"/>
        </w:rPr>
        <w:t>.</w:t>
      </w:r>
    </w:p>
    <w:p w:rsidR="00B955D3" w:rsidRPr="002B4227" w:rsidRDefault="00B955D3" w:rsidP="00B955D3">
      <w:pPr>
        <w:rPr>
          <w:rStyle w:val="tlid-translation"/>
          <w:sz w:val="24"/>
          <w:szCs w:val="24"/>
          <w:lang w:val="en"/>
        </w:rPr>
      </w:pPr>
      <w:proofErr w:type="gramStart"/>
      <w:r w:rsidRPr="0038791E">
        <w:rPr>
          <w:rStyle w:val="tlid-translation"/>
          <w:b/>
          <w:sz w:val="24"/>
          <w:szCs w:val="24"/>
          <w:lang w:val="en"/>
        </w:rPr>
        <w:t>Results.</w:t>
      </w:r>
      <w:proofErr w:type="gramEnd"/>
      <w:r w:rsidRPr="002B4227">
        <w:rPr>
          <w:rStyle w:val="tlid-translation"/>
          <w:sz w:val="24"/>
          <w:szCs w:val="24"/>
          <w:lang w:val="en"/>
        </w:rPr>
        <w:t xml:space="preserve"> The frequency of anti-D antibodies among </w:t>
      </w:r>
      <w:proofErr w:type="spellStart"/>
      <w:r w:rsidRPr="002B4227">
        <w:rPr>
          <w:rStyle w:val="tlid-translation"/>
          <w:sz w:val="24"/>
          <w:szCs w:val="24"/>
          <w:lang w:val="en"/>
        </w:rPr>
        <w:t>alloimmunized</w:t>
      </w:r>
      <w:proofErr w:type="spellEnd"/>
      <w:r w:rsidRPr="002B4227">
        <w:rPr>
          <w:rStyle w:val="tlid-translation"/>
          <w:sz w:val="24"/>
          <w:szCs w:val="24"/>
          <w:lang w:val="en"/>
        </w:rPr>
        <w:t xml:space="preserve"> patients was 33.3%, among </w:t>
      </w:r>
      <w:proofErr w:type="spellStart"/>
      <w:r w:rsidRPr="002B4227">
        <w:rPr>
          <w:rStyle w:val="tlid-translation"/>
          <w:sz w:val="24"/>
          <w:szCs w:val="24"/>
          <w:lang w:val="en"/>
        </w:rPr>
        <w:t>alloimmunized</w:t>
      </w:r>
      <w:proofErr w:type="spellEnd"/>
      <w:r w:rsidRPr="002B4227">
        <w:rPr>
          <w:rStyle w:val="tlid-translation"/>
          <w:sz w:val="24"/>
          <w:szCs w:val="24"/>
          <w:lang w:val="en"/>
        </w:rPr>
        <w:t xml:space="preserve"> donors - 12.6%. Dynamics of the structure of </w:t>
      </w:r>
      <w:proofErr w:type="spellStart"/>
      <w:r w:rsidRPr="002B4227">
        <w:rPr>
          <w:rStyle w:val="tlid-translation"/>
          <w:sz w:val="24"/>
          <w:szCs w:val="24"/>
          <w:lang w:val="en"/>
        </w:rPr>
        <w:t>alloimmunization</w:t>
      </w:r>
      <w:proofErr w:type="spellEnd"/>
      <w:r w:rsidRPr="002B4227">
        <w:rPr>
          <w:rStyle w:val="tlid-translation"/>
          <w:sz w:val="24"/>
          <w:szCs w:val="24"/>
          <w:lang w:val="en"/>
        </w:rPr>
        <w:t xml:space="preserve"> in 2016–2019 in general, it reflects positive shifts towards a decrease in the frequency of anti-D antibodies in men. In particular, the proportion of anti-D among all detected antibodies decreased from 50 to 33.3% in patients and from 18 to 3% in donors. Nevertheless, the fact of the presence of anti-D antibodies and their relatively high frequency in the structure of male </w:t>
      </w:r>
      <w:proofErr w:type="spellStart"/>
      <w:r w:rsidRPr="002B4227">
        <w:rPr>
          <w:rStyle w:val="tlid-translation"/>
          <w:sz w:val="24"/>
          <w:szCs w:val="24"/>
          <w:lang w:val="en"/>
        </w:rPr>
        <w:t>alloimmunization</w:t>
      </w:r>
      <w:proofErr w:type="spellEnd"/>
      <w:r w:rsidRPr="002B4227">
        <w:rPr>
          <w:rStyle w:val="tlid-translation"/>
          <w:sz w:val="24"/>
          <w:szCs w:val="24"/>
          <w:lang w:val="en"/>
        </w:rPr>
        <w:t xml:space="preserve"> are of concern, as are the cases of detection of not only anti-D antibodies, but also anti-C, -E and -c in Rh-positive men who had antigens D, C, E and c in the phenotype.</w:t>
      </w:r>
    </w:p>
    <w:p w:rsidR="00B955D3" w:rsidRPr="002B4227" w:rsidRDefault="00B955D3" w:rsidP="00B955D3">
      <w:pPr>
        <w:rPr>
          <w:rStyle w:val="tlid-translation"/>
          <w:sz w:val="24"/>
          <w:szCs w:val="24"/>
          <w:lang w:val="en"/>
        </w:rPr>
      </w:pPr>
      <w:proofErr w:type="gramStart"/>
      <w:r w:rsidRPr="002B0429">
        <w:rPr>
          <w:rStyle w:val="tlid-translation"/>
          <w:b/>
          <w:sz w:val="24"/>
          <w:szCs w:val="24"/>
          <w:lang w:val="en"/>
        </w:rPr>
        <w:t>Discussion</w:t>
      </w:r>
      <w:r w:rsidR="00D90DC2" w:rsidRPr="0038791E">
        <w:rPr>
          <w:rStyle w:val="tlid-translation"/>
          <w:b/>
          <w:sz w:val="24"/>
          <w:szCs w:val="24"/>
          <w:lang w:val="en-US"/>
        </w:rPr>
        <w:t>.</w:t>
      </w:r>
      <w:proofErr w:type="gramEnd"/>
      <w:r w:rsidRPr="002B4227">
        <w:rPr>
          <w:rStyle w:val="tlid-translation"/>
          <w:sz w:val="24"/>
          <w:szCs w:val="24"/>
          <w:lang w:val="en"/>
        </w:rPr>
        <w:t xml:space="preserve"> It is unlikely that the presence of anti-D antibodies in Rh men was in all cases the result of a </w:t>
      </w:r>
      <w:proofErr w:type="spellStart"/>
      <w:r w:rsidRPr="002B4227">
        <w:rPr>
          <w:rStyle w:val="tlid-translation"/>
          <w:sz w:val="24"/>
          <w:szCs w:val="24"/>
          <w:lang w:val="en"/>
        </w:rPr>
        <w:t>transplacental</w:t>
      </w:r>
      <w:proofErr w:type="spellEnd"/>
      <w:r w:rsidRPr="002B4227">
        <w:rPr>
          <w:rStyle w:val="tlid-translation"/>
          <w:sz w:val="24"/>
          <w:szCs w:val="24"/>
          <w:lang w:val="en"/>
        </w:rPr>
        <w:t xml:space="preserve"> transfer of antibody-producing cells from the </w:t>
      </w:r>
      <w:proofErr w:type="spellStart"/>
      <w:r w:rsidRPr="002B4227">
        <w:rPr>
          <w:rStyle w:val="tlid-translation"/>
          <w:sz w:val="24"/>
          <w:szCs w:val="24"/>
          <w:lang w:val="en"/>
        </w:rPr>
        <w:t>allo</w:t>
      </w:r>
      <w:proofErr w:type="spellEnd"/>
      <w:r w:rsidRPr="002B4227">
        <w:rPr>
          <w:rStyle w:val="tlid-translation"/>
          <w:sz w:val="24"/>
          <w:szCs w:val="24"/>
          <w:lang w:val="en"/>
        </w:rPr>
        <w:t>-immunized mother to the fetus during childbirth, sexual contacts with D-plus women or due to emergency blood transfusions that were not D-identical.</w:t>
      </w:r>
    </w:p>
    <w:p w:rsidR="00B955D3" w:rsidRPr="002B4227" w:rsidRDefault="00B955D3" w:rsidP="00B955D3">
      <w:pPr>
        <w:rPr>
          <w:rStyle w:val="tlid-translation"/>
          <w:sz w:val="24"/>
          <w:szCs w:val="24"/>
          <w:lang w:val="en"/>
        </w:rPr>
      </w:pPr>
      <w:r w:rsidRPr="002B4227">
        <w:rPr>
          <w:rStyle w:val="tlid-translation"/>
          <w:sz w:val="24"/>
          <w:szCs w:val="24"/>
          <w:lang w:val="en"/>
        </w:rPr>
        <w:t xml:space="preserve">More likely, anti-D antibodies in Rh negative men were the result of blood transfusions from donors mistakenly classified as Rh negative due to the presence of weak and partial forms of D antigen in their red blood cells. Such forms of antigens can be called "serologically negative - immunogenic positive." </w:t>
      </w:r>
      <w:proofErr w:type="gramStart"/>
      <w:r w:rsidRPr="002B4227">
        <w:rPr>
          <w:rStyle w:val="tlid-translation"/>
          <w:sz w:val="24"/>
          <w:szCs w:val="24"/>
          <w:lang w:val="en"/>
        </w:rPr>
        <w:t>“According to the Blood Center.</w:t>
      </w:r>
      <w:proofErr w:type="gramEnd"/>
      <w:r w:rsidRPr="002B4227">
        <w:rPr>
          <w:rStyle w:val="tlid-translation"/>
          <w:sz w:val="24"/>
          <w:szCs w:val="24"/>
          <w:lang w:val="en"/>
        </w:rPr>
        <w:t xml:space="preserve"> OK. </w:t>
      </w:r>
      <w:proofErr w:type="spellStart"/>
      <w:r w:rsidRPr="002B4227">
        <w:rPr>
          <w:rStyle w:val="tlid-translation"/>
          <w:sz w:val="24"/>
          <w:szCs w:val="24"/>
          <w:lang w:val="en"/>
        </w:rPr>
        <w:t>Gavrilov</w:t>
      </w:r>
      <w:proofErr w:type="spellEnd"/>
      <w:r w:rsidRPr="002B4227">
        <w:rPr>
          <w:rStyle w:val="tlid-translation"/>
          <w:sz w:val="24"/>
          <w:szCs w:val="24"/>
          <w:lang w:val="en"/>
        </w:rPr>
        <w:t xml:space="preserve"> (Moscow) 38.9% of male immunized patients (291/730) had anti-D antibodies. According to the REDS-III register, among US donors with anti-erythrocyte antibodies, more than 15% of men had anti-D antibodies</w:t>
      </w:r>
    </w:p>
    <w:p w:rsidR="00B955D3" w:rsidRPr="002B4227" w:rsidRDefault="00B955D3" w:rsidP="00B955D3">
      <w:pPr>
        <w:rPr>
          <w:rStyle w:val="tlid-translation"/>
          <w:sz w:val="24"/>
          <w:szCs w:val="24"/>
          <w:lang w:val="en"/>
        </w:rPr>
      </w:pPr>
      <w:r w:rsidRPr="002B4227">
        <w:rPr>
          <w:rStyle w:val="tlid-translation"/>
          <w:sz w:val="24"/>
          <w:szCs w:val="24"/>
          <w:lang w:val="en"/>
        </w:rPr>
        <w:t>The presence of anti-D antibodies in Rh-negative male, as well as anti-C, -E and -c in Rh-positive men who had D, C, E and c antigens in the phenotype, indicates the prevalence and immunogenicity of partial forms of not only D antigen, but also antigens C, E and c.</w:t>
      </w:r>
    </w:p>
    <w:p w:rsidR="00D90DC2" w:rsidRPr="002B4227" w:rsidRDefault="003A4D31" w:rsidP="00B955D3">
      <w:pPr>
        <w:rPr>
          <w:rStyle w:val="tlid-translation"/>
          <w:sz w:val="24"/>
          <w:szCs w:val="24"/>
          <w:lang w:val="en-US"/>
        </w:rPr>
      </w:pPr>
      <w:proofErr w:type="gramStart"/>
      <w:r w:rsidRPr="0038791E">
        <w:rPr>
          <w:rStyle w:val="tlid-translation"/>
          <w:b/>
          <w:sz w:val="24"/>
          <w:szCs w:val="24"/>
          <w:lang w:val="en"/>
        </w:rPr>
        <w:t>Conclusion.</w:t>
      </w:r>
      <w:proofErr w:type="gramEnd"/>
      <w:r w:rsidRPr="002B4227">
        <w:rPr>
          <w:rStyle w:val="tlid-translation"/>
          <w:sz w:val="24"/>
          <w:szCs w:val="24"/>
          <w:lang w:val="en"/>
        </w:rPr>
        <w:t xml:space="preserve"> </w:t>
      </w:r>
      <w:bookmarkStart w:id="0" w:name="_GoBack"/>
      <w:r w:rsidRPr="002B4227">
        <w:rPr>
          <w:rStyle w:val="tlid-translation"/>
          <w:sz w:val="24"/>
          <w:szCs w:val="24"/>
          <w:lang w:val="en"/>
        </w:rPr>
        <w:t xml:space="preserve">It is necessary to expand studies of the structure of </w:t>
      </w:r>
      <w:proofErr w:type="spellStart"/>
      <w:r w:rsidRPr="002B4227">
        <w:rPr>
          <w:rStyle w:val="tlid-translation"/>
          <w:sz w:val="24"/>
          <w:szCs w:val="24"/>
          <w:lang w:val="en"/>
        </w:rPr>
        <w:t>alloimmunization</w:t>
      </w:r>
      <w:proofErr w:type="spellEnd"/>
      <w:r w:rsidRPr="002B4227">
        <w:rPr>
          <w:rStyle w:val="tlid-translation"/>
          <w:sz w:val="24"/>
          <w:szCs w:val="24"/>
          <w:lang w:val="en"/>
        </w:rPr>
        <w:t xml:space="preserve">, as well as the frequency of weak and partial forms of erythrocyte antigens in various populations, especially multiethnic ones, where the risk of </w:t>
      </w:r>
      <w:proofErr w:type="spellStart"/>
      <w:r w:rsidRPr="002B4227">
        <w:rPr>
          <w:rStyle w:val="tlid-translation"/>
          <w:sz w:val="24"/>
          <w:szCs w:val="24"/>
          <w:lang w:val="en"/>
        </w:rPr>
        <w:t>alloimmunization</w:t>
      </w:r>
      <w:proofErr w:type="spellEnd"/>
      <w:r w:rsidRPr="002B4227">
        <w:rPr>
          <w:rStyle w:val="tlid-translation"/>
          <w:sz w:val="24"/>
          <w:szCs w:val="24"/>
          <w:lang w:val="en"/>
        </w:rPr>
        <w:t xml:space="preserve"> with erythrocyte antigens is especially high.</w:t>
      </w:r>
    </w:p>
    <w:bookmarkEnd w:id="0"/>
    <w:p w:rsidR="00D90DC2" w:rsidRPr="002B4227" w:rsidRDefault="00D90DC2" w:rsidP="00B955D3">
      <w:pPr>
        <w:rPr>
          <w:rStyle w:val="tlid-translation"/>
          <w:sz w:val="24"/>
          <w:szCs w:val="24"/>
          <w:lang w:val="en-US"/>
        </w:rPr>
      </w:pPr>
    </w:p>
    <w:sectPr w:rsidR="00D90DC2" w:rsidRPr="002B4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unicod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36B"/>
    <w:rsid w:val="00111EE2"/>
    <w:rsid w:val="002B0429"/>
    <w:rsid w:val="002B4227"/>
    <w:rsid w:val="0038791E"/>
    <w:rsid w:val="003A4D31"/>
    <w:rsid w:val="003B768D"/>
    <w:rsid w:val="006C5605"/>
    <w:rsid w:val="006D2FCA"/>
    <w:rsid w:val="00766FBE"/>
    <w:rsid w:val="0085736B"/>
    <w:rsid w:val="00B955D3"/>
    <w:rsid w:val="00C3411F"/>
    <w:rsid w:val="00C55678"/>
    <w:rsid w:val="00D25182"/>
    <w:rsid w:val="00D72B6B"/>
    <w:rsid w:val="00D9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36B"/>
    <w:pPr>
      <w:overflowPunct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111E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36B"/>
    <w:pPr>
      <w:overflowPunct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111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505</Words>
  <Characters>2692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2020-01-31T04:19:00Z</dcterms:created>
  <dcterms:modified xsi:type="dcterms:W3CDTF">2020-02-01T12:40:00Z</dcterms:modified>
</cp:coreProperties>
</file>