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2"/>
        <w:rPr>
          <w:rFonts w:ascii="Times New Roman" w:cs="Times New Roman" w:hAnsi="Times New Roman"/>
          <w:b w:val="false"/>
          <w:bCs w:val="false"/>
          <w:color w:val="auto"/>
          <w:u w:val="single"/>
        </w:rPr>
      </w:pPr>
      <w:r>
        <w:rPr>
          <w:rFonts w:ascii="Times New Roman" w:cs="Times New Roman" w:hAnsi="Times New Roman"/>
          <w:color w:val="auto"/>
          <w:u w:val="single"/>
        </w:rPr>
        <w:t xml:space="preserve">Significance of  </w:t>
      </w:r>
      <w:r>
        <w:rPr>
          <w:rFonts w:ascii="Times New Roman" w:cs="Times New Roman" w:hAnsi="Times New Roman"/>
          <w:color w:val="auto"/>
          <w:u w:val="single"/>
          <w:shd w:val="clear" w:color="auto" w:fill="ffffff"/>
        </w:rPr>
        <w:t>High-performance liquid chromatography (HPLC)</w:t>
      </w:r>
      <w:r>
        <w:rPr>
          <w:rFonts w:ascii="Times New Roman" w:cs="Times New Roman" w:hAnsi="Times New Roman"/>
          <w:color w:val="auto"/>
          <w:u w:val="single"/>
        </w:rPr>
        <w:t xml:space="preserve"> for Diagnoses of Haemoglobin variants</w:t>
      </w:r>
      <w:r>
        <w:rPr>
          <w:rFonts w:ascii="Times New Roman" w:cs="Times New Roman" w:hAnsi="Times New Roman"/>
          <w:b w:val="false"/>
          <w:bCs w:val="false"/>
          <w:color w:val="auto"/>
          <w:u w:val="single"/>
        </w:rPr>
        <w:t>.</w:t>
      </w:r>
    </w:p>
    <w:p>
      <w:pPr>
        <w:pStyle w:val="style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                                    </w:t>
      </w:r>
      <w:r>
        <w:rPr>
          <w:rFonts w:ascii="Times New Roman" w:cs="Times New Roman" w:hAnsi="Times New Roman"/>
        </w:rPr>
        <w:t>Aqsa Jamli, Mohammad Aezaz, Nabila Rafique, Izza Hussain</w:t>
      </w:r>
    </w:p>
    <w:p>
      <w:pPr>
        <w:pStyle w:val="style0"/>
        <w:tabs>
          <w:tab w:val="left" w:leader="none" w:pos="2925"/>
        </w:tabs>
        <w:spacing w:after="120" w:lineRule="auto" w:line="240"/>
        <w:jc w:val="both"/>
        <w:rPr>
          <w:rFonts w:ascii="Times New Roman" w:cs="Times New Roman" w:hAnsi="Times New Roman"/>
        </w:rPr>
      </w:pPr>
    </w:p>
    <w:p>
      <w:pPr>
        <w:pStyle w:val="style0"/>
        <w:tabs>
          <w:tab w:val="left" w:leader="none" w:pos="2925"/>
        </w:tabs>
        <w:spacing w:after="120" w:lineRule="auto" w:line="240"/>
        <w:rPr>
          <w:rFonts w:ascii="Times New Roman" w:cs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bCs/>
          <w:sz w:val="24"/>
          <w:szCs w:val="24"/>
          <w:u w:val="single"/>
        </w:rPr>
        <w:t>INTRODUCTION: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High-performance liquid chromatography (HPLC)</w:t>
      </w:r>
      <w:r>
        <w:rPr>
          <w:rStyle w:val="style4098"/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 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is a well-established technique </w:t>
      </w:r>
      <w:r>
        <w:rPr>
          <w:rFonts w:ascii="Times New Roman" w:cs="Times New Roman" w:hAnsi="Times New Roman"/>
          <w:sz w:val="24"/>
          <w:szCs w:val="24"/>
        </w:rPr>
        <w:t>for detecting  hemoglobinopathies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by quantification of variants hemoglobin based on their retention time and elution peaks.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A standard test for screening </w:t>
      </w:r>
      <w:r>
        <w:rPr>
          <w:rFonts w:ascii="Times New Roman" w:cs="Times New Roman" w:hAnsi="Times New Roman"/>
          <w:sz w:val="24"/>
          <w:szCs w:val="24"/>
        </w:rPr>
        <w:t xml:space="preserve">hemoglobinopathies and thalassemia include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alkaline cellulose acetate and acidic citrate agar gel electrophoreses. Though these techniques are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standard technique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s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however there are certain disadvantages related as being labor intensive and lacking accurate quantification. Furthermore, due to its limited resolution,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incorrect or unresolved diagnosi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s of common hemoglobinopa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thies are also an issue.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Style w:val="style4098"/>
          <w:rFonts w:ascii="Times New Roman" w:cs="Times New Roman" w:hAnsi="Times New Roman"/>
          <w:sz w:val="24"/>
          <w:szCs w:val="24"/>
          <w:shd w:val="clear" w:color="auto" w:fill="ffffff"/>
        </w:rPr>
        <w:t>HPLC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method has the advantage to screen and confirm hemoglobinopathies which are not resolved by conventional methods with relatively high sensitivity and specificity</w:t>
      </w:r>
      <w:r>
        <w:rPr>
          <w:rFonts w:ascii="Times New Roman" w:cs="Times New Roman" w:hAnsi="Times New Roman"/>
          <w:sz w:val="24"/>
          <w:szCs w:val="24"/>
        </w:rPr>
        <w:t>. In our study, we used the automatic HPLC system to detect various types of thalass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emia. The D-10 HPLC system sets a new standard of performance for comprehensive hemoglobin testing. </w:t>
      </w:r>
    </w:p>
    <w:p>
      <w:pPr>
        <w:pStyle w:val="style0"/>
        <w:tabs>
          <w:tab w:val="left" w:leader="none" w:pos="2925"/>
        </w:tabs>
        <w:spacing w:after="120" w:lineRule="auto" w:line="240"/>
        <w:rPr>
          <w:rFonts w:ascii="Times New Roman" w:cs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  <w:t>Objective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  <w:t>:</w:t>
      </w:r>
    </w:p>
    <w:p>
      <w:pPr>
        <w:pStyle w:val="style0"/>
        <w:tabs>
          <w:tab w:val="left" w:leader="none" w:pos="2925"/>
        </w:tabs>
        <w:spacing w:after="120" w:lineRule="auto" w:line="360"/>
        <w:jc w:val="both"/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 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The aim of this study is to determine advantages of HPLC with respect to its use in a tertiary care setup.</w:t>
      </w:r>
    </w:p>
    <w:p>
      <w:pPr>
        <w:pStyle w:val="style0"/>
        <w:tabs>
          <w:tab w:val="left" w:leader="none" w:pos="2925"/>
        </w:tabs>
        <w:spacing w:after="120" w:lineRule="auto" w:line="240"/>
        <w:rPr>
          <w:rFonts w:ascii="Times New Roman" w:cs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  <w:t>Methods:</w:t>
      </w:r>
    </w:p>
    <w:p>
      <w:pPr>
        <w:pStyle w:val="style0"/>
        <w:tabs>
          <w:tab w:val="left" w:leader="none" w:pos="2925"/>
        </w:tabs>
        <w:spacing w:after="120" w:lineRule="auto" w:line="360"/>
        <w:jc w:val="both"/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 xml:space="preserve">This is a cross-sectional study conducted from March-Dec 2015 at The Indus Hospital, Karachi.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A total of 65 </w:t>
      </w:r>
      <w:r>
        <w:rPr>
          <w:rFonts w:ascii="Times New Roman" w:cs="Times New Roman" w:hAnsi="Times New Roman"/>
          <w:sz w:val="24"/>
          <w:szCs w:val="24"/>
        </w:rPr>
        <w:t>blood specimens from both genders, were inclu</w:t>
      </w:r>
      <w:r>
        <w:rPr>
          <w:rFonts w:ascii="Times New Roman" w:cs="Times New Roman" w:hAnsi="Times New Roman"/>
          <w:sz w:val="24"/>
          <w:szCs w:val="24"/>
        </w:rPr>
        <w:t>ded in the study. 3 ml blood in</w:t>
      </w:r>
      <w:r>
        <w:rPr>
          <w:rFonts w:ascii="Times New Roman" w:cs="Times New Roman" w:hAnsi="Times New Roman"/>
          <w:sz w:val="24"/>
          <w:szCs w:val="24"/>
        </w:rPr>
        <w:t xml:space="preserve">  EDTA were used. 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All samples were tested on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HPLC (BIORAD Dual-10)  data analysis.</w:t>
      </w:r>
    </w:p>
    <w:p>
      <w:pPr>
        <w:pStyle w:val="style0"/>
        <w:tabs>
          <w:tab w:val="left" w:leader="none" w:pos="2925"/>
        </w:tabs>
        <w:spacing w:after="120" w:lineRule="auto" w:line="360"/>
        <w:jc w:val="both"/>
        <w:rPr>
          <w:rFonts w:ascii="Times New Roman" w:cs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  <w:t>Results: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Abnormal hemoglobin fractions were observed in 40/65 (61.5%) of the cases on HPLC. The results showed Thalassaemia Minor ( n:15), Thalassaemia Major (n:5), Thalassaemia Intermedia (n:11), Hb E trait (n:2), Compound heterozygotes for Sickle beta thalassemia (n:4), Sickle disease (n:2), D trait (n:1)</w:t>
      </w:r>
    </w:p>
    <w:p>
      <w:pPr>
        <w:pStyle w:val="style0"/>
        <w:tabs>
          <w:tab w:val="left" w:leader="none" w:pos="2925"/>
        </w:tabs>
        <w:spacing w:after="120" w:lineRule="auto" w:line="360"/>
        <w:jc w:val="both"/>
        <w:rPr>
          <w:rFonts w:ascii="Times New Roman" w:cs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  <w:t>Conclusion:</w:t>
      </w:r>
    </w:p>
    <w:p>
      <w:pPr>
        <w:pStyle w:val="style0"/>
        <w:tabs>
          <w:tab w:val="left" w:leader="none" w:pos="2925"/>
        </w:tabs>
        <w:spacing w:after="120" w:lineRule="auto" w:line="360"/>
        <w:jc w:val="both"/>
        <w:rPr>
          <w:rFonts w:ascii="Times New Roman" w:cs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HPLC is a rapid and accurate tool in early detection and management of various hemoglobin disorders. It is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superior in resolution and accurate quantification of hemoglobin concentration and an ideal methodology for the routine diagnosis of hemoglobin disorders in a clinical laboratory of a tertiary care hospital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.</w:t>
      </w:r>
    </w:p>
    <w:p>
      <w:pPr>
        <w:pStyle w:val="style0"/>
        <w:tabs>
          <w:tab w:val="left" w:leader="none" w:pos="2925"/>
        </w:tabs>
        <w:spacing w:after="120" w:lineRule="auto" w:line="36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</w:p>
    <w:p>
      <w:pPr>
        <w:pStyle w:val="style0"/>
        <w:tabs>
          <w:tab w:val="left" w:leader="none" w:pos="2925"/>
        </w:tabs>
        <w:spacing w:after="120" w:lineRule="auto" w:line="36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0" w:footer="0" w:gutter="0"/>
      <w:cols w:space="72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A00002EF" w:usb1="4000207B" w:usb2="00000000" w:usb3="00000000" w:csb0="0000009F" w:csb1="00000000"/>
  </w:font>
  <w:font w:name="Arial">
    <w:altName w:val="Arial"/>
    <w:panose1 w:val="020b0604020002020204"/>
    <w:charset w:val="00"/>
    <w:family w:val="swiss"/>
    <w:pitch w:val="variable"/>
    <w:sig w:usb0="20002A87" w:usb1="80000000" w:usb2="00000008" w:usb3="00000000" w:csb0="000001FF" w:csb1="00000000"/>
  </w:font>
  <w:font w:name="Liberation Sans">
    <w:altName w:val="Arial"/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D7CC356C"/>
    <w:lvl w:ilvl="0">
      <w:start w:val="1"/>
      <w:numFmt w:val="decimal"/>
      <w:suff w:val="nothing"/>
      <w:lvlText w:val=""/>
      <w:lvlJc w:val="left"/>
      <w:pPr>
        <w:tabs>
          <w:tab w:val="left" w:leader="none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left" w:leader="none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left" w:leader="none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left" w:leader="none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left" w:leader="none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left" w:leader="none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left" w:leader="none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left" w:leader="none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left" w:leader="none" w:pos="1584"/>
        </w:tabs>
        <w:ind w:left="1584" w:hanging="1584"/>
      </w:pPr>
    </w:lvl>
  </w:abstractNum>
  <w:abstractNum w:abstractNumId="1">
    <w:nsid w:val="00000001"/>
    <w:multiLevelType w:val="multilevel"/>
    <w:tmpl w:val="2D547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1"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Times New Roman" w:eastAsia="Times New Roman" w:hAnsi="Calibri"/>
        <w:sz w:val="22"/>
        <w:szCs w:val="22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uppressAutoHyphens/>
      <w:spacing w:after="200" w:lineRule="auto" w:line="276"/>
    </w:pPr>
    <w:rPr>
      <w:rFonts w:cs="Calibri"/>
    </w:rPr>
  </w:style>
  <w:style w:type="paragraph" w:styleId="style2">
    <w:name w:val="heading 2"/>
    <w:basedOn w:val="style0"/>
    <w:next w:val="style0"/>
    <w:link w:val="style4097"/>
    <w:qFormat/>
    <w:uiPriority w:val="99"/>
    <w:pPr>
      <w:keepNext/>
      <w:spacing w:before="240" w:after="60" w:lineRule="auto" w:line="240"/>
      <w:outlineLvl w:val="1"/>
    </w:pPr>
    <w:rPr>
      <w:rFonts w:ascii="Arial" w:cs="Arial" w:hAnsi="Arial"/>
      <w:b/>
      <w:bCs/>
      <w:i/>
      <w:iCs/>
      <w:color w:val="00000a"/>
      <w:sz w:val="28"/>
      <w:szCs w:val="28"/>
    </w:rPr>
  </w:style>
  <w:style w:type="character" w:default="1" w:styleId="style65">
    <w:name w:val="Default Paragraph Font"/>
    <w:next w:val="style65"/>
    <w:uiPriority w:val="99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2 Char_c0480ce3-ffb4-42e4-94b1-9a622d74bab9"/>
    <w:basedOn w:val="style65"/>
    <w:next w:val="style4097"/>
    <w:link w:val="style2"/>
    <w:uiPriority w:val="99"/>
    <w:rPr>
      <w:rFonts w:ascii="Arial" w:cs="Arial" w:hAnsi="Arial"/>
      <w:b/>
      <w:bCs/>
      <w:i/>
      <w:iCs/>
      <w:color w:val="00000a"/>
      <w:sz w:val="28"/>
      <w:szCs w:val="28"/>
    </w:rPr>
  </w:style>
  <w:style w:type="character" w:styleId="style88">
    <w:name w:val="Emphasis"/>
    <w:basedOn w:val="style65"/>
    <w:next w:val="style88"/>
    <w:qFormat/>
    <w:uiPriority w:val="99"/>
    <w:rPr>
      <w:i/>
      <w:iCs/>
    </w:rPr>
  </w:style>
  <w:style w:type="character" w:customStyle="1" w:styleId="style4098">
    <w:name w:val="apple-converted-space"/>
    <w:basedOn w:val="style65"/>
    <w:next w:val="style4098"/>
    <w:uiPriority w:val="99"/>
  </w:style>
  <w:style w:type="character" w:customStyle="1" w:styleId="style4099">
    <w:name w:val="Header Char_b30c68b6-c025-415d-a5ae-d85512a9adc0"/>
    <w:basedOn w:val="style65"/>
    <w:next w:val="style4099"/>
    <w:link w:val="style31"/>
    <w:uiPriority w:val="99"/>
  </w:style>
  <w:style w:type="character" w:customStyle="1" w:styleId="style4100">
    <w:name w:val="Footer Char_dea19b2d-6e7d-4e6b-97e8-8a7680d9d58b"/>
    <w:basedOn w:val="style65"/>
    <w:next w:val="style4100"/>
    <w:link w:val="style32"/>
    <w:uiPriority w:val="99"/>
  </w:style>
  <w:style w:type="character" w:customStyle="1" w:styleId="style4101">
    <w:name w:val="ListLabel 1"/>
    <w:next w:val="style4101"/>
    <w:uiPriority w:val="99"/>
    <w:rPr>
      <w:b/>
      <w:bCs/>
      <w:sz w:val="22"/>
      <w:szCs w:val="22"/>
    </w:rPr>
  </w:style>
  <w:style w:type="paragraph" w:customStyle="1" w:styleId="style4102">
    <w:name w:val="Heading"/>
    <w:basedOn w:val="style0"/>
    <w:next w:val="style4103"/>
    <w:uiPriority w:val="99"/>
    <w:pPr>
      <w:keepNext/>
      <w:spacing w:before="240" w:after="120"/>
    </w:pPr>
    <w:rPr>
      <w:rFonts w:ascii="Liberation Sans" w:cs="Liberation Sans" w:hAnsi="Liberation Sans"/>
      <w:sz w:val="28"/>
      <w:szCs w:val="28"/>
    </w:rPr>
  </w:style>
  <w:style w:type="paragraph" w:customStyle="1" w:styleId="style4103">
    <w:name w:val="Text Body"/>
    <w:basedOn w:val="style0"/>
    <w:next w:val="style4103"/>
    <w:uiPriority w:val="99"/>
    <w:pPr>
      <w:spacing w:after="140" w:lineRule="auto" w:line="288"/>
    </w:pPr>
    <w:rPr/>
  </w:style>
  <w:style w:type="paragraph" w:styleId="style47">
    <w:name w:val="List"/>
    <w:basedOn w:val="style4103"/>
    <w:next w:val="style47"/>
    <w:uiPriority w:val="99"/>
    <w:pPr/>
  </w:style>
  <w:style w:type="paragraph" w:styleId="style34">
    <w:name w:val="caption"/>
    <w:basedOn w:val="style0"/>
    <w:next w:val="style34"/>
    <w:qFormat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style4104">
    <w:name w:val="Index"/>
    <w:basedOn w:val="style0"/>
    <w:next w:val="style4104"/>
    <w:uiPriority w:val="99"/>
    <w:pPr>
      <w:suppressLineNumbers/>
    </w:pPr>
    <w:rPr/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5">
    <w:name w:val="Header Char1"/>
    <w:basedOn w:val="style65"/>
    <w:next w:val="style4105"/>
    <w:link w:val="style31"/>
    <w:uiPriority w:val="99"/>
    <w:rPr>
      <w:rFonts w:cs="Calibri"/>
    </w:rPr>
  </w:style>
  <w:style w:type="paragraph" w:styleId="style32">
    <w:name w:val="footer"/>
    <w:basedOn w:val="style0"/>
    <w:next w:val="style32"/>
    <w:link w:val="style4100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6">
    <w:name w:val="Footer Char1"/>
    <w:basedOn w:val="style65"/>
    <w:next w:val="style4106"/>
    <w:link w:val="style32"/>
    <w:uiPriority w:val="99"/>
    <w:rPr>
      <w:rFonts w:cs="Calibri"/>
    </w:rPr>
  </w:style>
  <w:style w:type="paragraph" w:styleId="style179">
    <w:name w:val="List Paragraph"/>
    <w:basedOn w:val="style0"/>
    <w:next w:val="style179"/>
    <w:qFormat/>
    <w:uiPriority w:val="99"/>
    <w:pPr>
      <w:ind w:left="720"/>
      <w:jc w:val="both"/>
    </w:pPr>
    <w:rPr>
      <w:color w:val="00000a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Words>311</Words>
  <Characters>1870</Characters>
  <Application>WPS Office</Application>
  <DocSecurity>0</DocSecurity>
  <Paragraphs>17</Paragraphs>
  <ScaleCrop>false</ScaleCrop>
  <Company>Hewlett-Packard</Company>
  <LinksUpToDate>false</LinksUpToDate>
  <CharactersWithSpaces>2214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2016-12-13T06:30:00Z</dcterms:created>
  <dc:creator>Nasir</dc:creator>
  <lastModifiedBy>HUAWEI LUA-U22</lastModifiedBy>
  <dcterms:modified xsi:type="dcterms:W3CDTF">2016-12-17T03:43:07Z</dcterms:modified>
  <revision>2</revision>
  <dc:title>Significance of High-performance liquid chromatography (HPLC) for Diagnoses of Haemoglobin variants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