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59F4E9" w14:textId="0290030D" w:rsidR="005C7388" w:rsidRPr="008248FA" w:rsidRDefault="005C7388" w:rsidP="008248FA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8248FA">
        <w:rPr>
          <w:rFonts w:asciiTheme="majorBidi" w:hAnsiTheme="majorBidi" w:cstheme="majorBidi"/>
          <w:b/>
          <w:bCs/>
          <w:sz w:val="28"/>
          <w:szCs w:val="28"/>
        </w:rPr>
        <w:t xml:space="preserve">Increase level of fetal hemoglobin </w:t>
      </w:r>
      <w:r w:rsidR="008248FA" w:rsidRPr="008248FA">
        <w:rPr>
          <w:rFonts w:asciiTheme="majorBidi" w:hAnsiTheme="majorBidi" w:cstheme="majorBidi"/>
          <w:b/>
          <w:bCs/>
          <w:sz w:val="28"/>
          <w:szCs w:val="28"/>
        </w:rPr>
        <w:t>by an LSD1 inhibitor, GSK-LSD1 is New Drug in Thalassemia</w:t>
      </w:r>
      <w:bookmarkStart w:id="0" w:name="_GoBack"/>
      <w:bookmarkEnd w:id="0"/>
    </w:p>
    <w:p w14:paraId="50EFD591" w14:textId="77777777" w:rsidR="005C7388" w:rsidRDefault="005C7388" w:rsidP="00F10297">
      <w:pPr>
        <w:rPr>
          <w:rFonts w:asciiTheme="majorBidi" w:hAnsiTheme="majorBidi" w:cstheme="majorBidi"/>
          <w:sz w:val="30"/>
          <w:szCs w:val="30"/>
        </w:rPr>
      </w:pPr>
    </w:p>
    <w:p w14:paraId="18414BAF" w14:textId="1153E3B3" w:rsidR="00AB154F" w:rsidRPr="00BD6E24" w:rsidRDefault="00F10297" w:rsidP="00BD6E24">
      <w:pPr>
        <w:rPr>
          <w:rFonts w:asciiTheme="majorBidi" w:eastAsia="Times New Roman" w:hAnsiTheme="majorBidi" w:cstheme="majorBidi"/>
        </w:rPr>
      </w:pPr>
      <w:r w:rsidRPr="00BD6E24">
        <w:rPr>
          <w:rFonts w:asciiTheme="majorBidi" w:hAnsiTheme="majorBidi" w:cstheme="majorBidi"/>
          <w:b/>
          <w:bCs/>
        </w:rPr>
        <w:t>Yadallah Dalvand</w:t>
      </w:r>
      <w:r w:rsidRPr="00BD6E24">
        <w:rPr>
          <w:rFonts w:asciiTheme="majorBidi" w:hAnsiTheme="majorBidi" w:cstheme="majorBidi"/>
          <w:b/>
          <w:bCs/>
          <w:vertAlign w:val="superscript"/>
        </w:rPr>
        <w:t>1, 2*</w:t>
      </w:r>
      <w:r w:rsidRPr="00BD6E24">
        <w:rPr>
          <w:rFonts w:asciiTheme="majorBidi" w:hAnsiTheme="majorBidi" w:cstheme="majorBidi"/>
        </w:rPr>
        <w:t>, , Mohammad Hamid</w:t>
      </w:r>
      <w:r w:rsidR="00BD6E24" w:rsidRPr="00BD6E24">
        <w:rPr>
          <w:rFonts w:asciiTheme="majorBidi" w:hAnsiTheme="majorBidi" w:cstheme="majorBidi"/>
          <w:vertAlign w:val="superscript"/>
        </w:rPr>
        <w:t>3</w:t>
      </w:r>
      <w:r w:rsidRPr="00BD6E24">
        <w:rPr>
          <w:rFonts w:asciiTheme="majorBidi" w:hAnsiTheme="majorBidi" w:cstheme="majorBidi"/>
        </w:rPr>
        <w:t>, Mojtaba Khayam Nekouei</w:t>
      </w:r>
      <w:r w:rsidR="00BD6E24" w:rsidRPr="00BD6E24">
        <w:rPr>
          <w:rFonts w:asciiTheme="majorBidi" w:hAnsiTheme="majorBidi" w:cstheme="majorBidi"/>
          <w:vertAlign w:val="superscript"/>
        </w:rPr>
        <w:t>4</w:t>
      </w:r>
      <w:r w:rsidRPr="00BD6E24">
        <w:rPr>
          <w:rFonts w:asciiTheme="majorBidi" w:hAnsiTheme="majorBidi" w:cstheme="majorBidi"/>
        </w:rPr>
        <w:t>, Majid Sadeghizadeh</w:t>
      </w:r>
      <w:r w:rsidR="00BD6E24" w:rsidRPr="00BD6E24">
        <w:rPr>
          <w:rFonts w:asciiTheme="majorBidi" w:hAnsiTheme="majorBidi" w:cstheme="majorBidi"/>
          <w:vertAlign w:val="superscript"/>
        </w:rPr>
        <w:t>1</w:t>
      </w:r>
    </w:p>
    <w:p w14:paraId="77EEF342" w14:textId="27C4F308" w:rsidR="00F10297" w:rsidRPr="002A3FB8" w:rsidRDefault="00F10297" w:rsidP="00F10297">
      <w:pPr>
        <w:rPr>
          <w:rFonts w:asciiTheme="majorBidi" w:hAnsiTheme="majorBidi" w:cstheme="majorBidi"/>
          <w:sz w:val="22"/>
        </w:rPr>
      </w:pPr>
    </w:p>
    <w:p w14:paraId="24F717ED" w14:textId="77777777" w:rsidR="00F10297" w:rsidRPr="00BD6E24" w:rsidRDefault="00F10297" w:rsidP="00F10297">
      <w:pPr>
        <w:rPr>
          <w:rFonts w:asciiTheme="majorBidi" w:hAnsiTheme="majorBidi" w:cstheme="majorBidi"/>
          <w:sz w:val="22"/>
          <w:szCs w:val="22"/>
        </w:rPr>
      </w:pPr>
      <w:r w:rsidRPr="00BD6E24">
        <w:rPr>
          <w:rFonts w:asciiTheme="majorBidi" w:hAnsiTheme="majorBidi" w:cstheme="majorBidi"/>
          <w:sz w:val="22"/>
          <w:szCs w:val="22"/>
        </w:rPr>
        <w:t>1-</w:t>
      </w:r>
      <w:r w:rsidRPr="00BD6E24">
        <w:rPr>
          <w:sz w:val="22"/>
          <w:szCs w:val="22"/>
        </w:rPr>
        <w:t xml:space="preserve"> </w:t>
      </w:r>
      <w:r w:rsidRPr="00BD6E24">
        <w:rPr>
          <w:rFonts w:asciiTheme="majorBidi" w:hAnsiTheme="majorBidi" w:cstheme="majorBidi"/>
          <w:sz w:val="22"/>
          <w:szCs w:val="22"/>
        </w:rPr>
        <w:t xml:space="preserve">MSc Molecular Genetics, Department of Genetics, Tarbiat Modares University, Tehran, Iran </w:t>
      </w:r>
    </w:p>
    <w:p w14:paraId="365D96C5" w14:textId="77777777" w:rsidR="00F10297" w:rsidRPr="00BD6E24" w:rsidRDefault="00F10297" w:rsidP="00F10297">
      <w:pPr>
        <w:rPr>
          <w:rFonts w:asciiTheme="majorBidi" w:hAnsiTheme="majorBidi" w:cstheme="majorBidi"/>
          <w:sz w:val="22"/>
          <w:szCs w:val="22"/>
        </w:rPr>
      </w:pPr>
      <w:r w:rsidRPr="00BD6E24">
        <w:rPr>
          <w:rFonts w:asciiTheme="majorBidi" w:hAnsiTheme="majorBidi" w:cstheme="majorBidi"/>
          <w:sz w:val="22"/>
          <w:szCs w:val="22"/>
        </w:rPr>
        <w:t>2- Department of Medical Genetics, Fertility and Infertility of MOM, Tehran, Iran</w:t>
      </w:r>
    </w:p>
    <w:p w14:paraId="7497532B" w14:textId="03682659" w:rsidR="00F10297" w:rsidRPr="00BD6E24" w:rsidRDefault="00BD6E24" w:rsidP="00F10297">
      <w:pPr>
        <w:rPr>
          <w:rFonts w:asciiTheme="majorBidi" w:hAnsiTheme="majorBidi" w:cstheme="majorBidi"/>
          <w:sz w:val="22"/>
          <w:szCs w:val="22"/>
        </w:rPr>
      </w:pPr>
      <w:r w:rsidRPr="00BD6E24">
        <w:rPr>
          <w:rFonts w:asciiTheme="majorBidi" w:hAnsiTheme="majorBidi" w:cstheme="majorBidi"/>
          <w:sz w:val="22"/>
          <w:szCs w:val="22"/>
        </w:rPr>
        <w:t>3</w:t>
      </w:r>
      <w:r w:rsidR="00F10297" w:rsidRPr="00BD6E24">
        <w:rPr>
          <w:rFonts w:asciiTheme="majorBidi" w:hAnsiTheme="majorBidi" w:cstheme="majorBidi"/>
          <w:sz w:val="22"/>
          <w:szCs w:val="22"/>
        </w:rPr>
        <w:t>- Department of Molecular Medicine, Biotechnology Research Center Pasteur Institute of Iran</w:t>
      </w:r>
    </w:p>
    <w:p w14:paraId="6C5E7BD3" w14:textId="71B8261C" w:rsidR="00F10297" w:rsidRPr="00BD6E24" w:rsidRDefault="00BD6E24" w:rsidP="00F10297">
      <w:pPr>
        <w:rPr>
          <w:rFonts w:asciiTheme="majorBidi" w:hAnsiTheme="majorBidi" w:cstheme="majorBidi"/>
          <w:sz w:val="22"/>
          <w:szCs w:val="22"/>
        </w:rPr>
      </w:pPr>
      <w:r w:rsidRPr="00BD6E24">
        <w:rPr>
          <w:rFonts w:asciiTheme="majorBidi" w:hAnsiTheme="majorBidi" w:cstheme="majorBidi"/>
          <w:sz w:val="22"/>
          <w:szCs w:val="22"/>
        </w:rPr>
        <w:t>4</w:t>
      </w:r>
      <w:r w:rsidR="00F10297" w:rsidRPr="00BD6E24">
        <w:rPr>
          <w:rFonts w:asciiTheme="majorBidi" w:hAnsiTheme="majorBidi" w:cstheme="majorBidi"/>
          <w:sz w:val="22"/>
          <w:szCs w:val="22"/>
        </w:rPr>
        <w:t xml:space="preserve">- </w:t>
      </w:r>
      <w:r w:rsidR="00CF2F38" w:rsidRPr="00BD6E24">
        <w:rPr>
          <w:rFonts w:asciiTheme="majorBidi" w:hAnsiTheme="majorBidi" w:cstheme="majorBidi"/>
          <w:sz w:val="22"/>
          <w:szCs w:val="22"/>
        </w:rPr>
        <w:t>Department of Genetics, School of Biological Sciences, Tarbiat Modares University. Tehran, Iran</w:t>
      </w:r>
    </w:p>
    <w:p w14:paraId="3F2D49E2" w14:textId="0A5A11D1" w:rsidR="007F4A88" w:rsidRPr="00D722CA" w:rsidRDefault="007F4A88" w:rsidP="005C7388">
      <w:pPr>
        <w:jc w:val="center"/>
        <w:rPr>
          <w:rFonts w:ascii="Times" w:eastAsia="Times New Roman" w:hAnsi="Times" w:cs="Times New Roman"/>
          <w:sz w:val="20"/>
        </w:rPr>
      </w:pPr>
      <w:r w:rsidRPr="007F4A88">
        <w:rPr>
          <w:rFonts w:ascii="Times" w:eastAsia="Times New Roman" w:hAnsi="Times" w:cs="Times New Roman"/>
          <w:sz w:val="16"/>
          <w:szCs w:val="20"/>
        </w:rPr>
        <w:t xml:space="preserve">* </w:t>
      </w:r>
      <w:r w:rsidRPr="00D722CA">
        <w:rPr>
          <w:rFonts w:ascii="Times" w:eastAsia="Times New Roman" w:hAnsi="Times" w:cs="Times New Roman"/>
          <w:sz w:val="20"/>
        </w:rPr>
        <w:t>Corres</w:t>
      </w:r>
      <w:r w:rsidR="005C7388">
        <w:rPr>
          <w:rFonts w:ascii="Times" w:eastAsia="Times New Roman" w:hAnsi="Times" w:cs="Times New Roman"/>
          <w:sz w:val="20"/>
        </w:rPr>
        <w:t xml:space="preserve">ponding author: </w:t>
      </w:r>
      <w:hyperlink r:id="rId8" w:history="1">
        <w:r w:rsidRPr="00D722CA">
          <w:rPr>
            <w:rStyle w:val="Hyperlink"/>
            <w:rFonts w:ascii="Times" w:eastAsia="Times New Roman" w:hAnsi="Times" w:cs="Times New Roman"/>
            <w:sz w:val="20"/>
          </w:rPr>
          <w:t>dalvandyadola@yahoo.com</w:t>
        </w:r>
      </w:hyperlink>
    </w:p>
    <w:p w14:paraId="5E0FADEB" w14:textId="1BE10254" w:rsidR="00F10297" w:rsidRDefault="00F10297" w:rsidP="00F10297">
      <w:pPr>
        <w:rPr>
          <w:rFonts w:ascii="Times" w:eastAsia="Times New Roman" w:hAnsi="Times" w:cs="Times New Roman"/>
          <w:sz w:val="20"/>
          <w:szCs w:val="20"/>
        </w:rPr>
      </w:pPr>
    </w:p>
    <w:p w14:paraId="22232483" w14:textId="393C80D2" w:rsidR="005C7388" w:rsidRDefault="005C7388" w:rsidP="00F10297">
      <w:pPr>
        <w:rPr>
          <w:rFonts w:ascii="Times" w:eastAsia="Times New Roman" w:hAnsi="Times" w:cs="Times New Roman"/>
          <w:sz w:val="20"/>
          <w:szCs w:val="20"/>
        </w:rPr>
      </w:pPr>
    </w:p>
    <w:p w14:paraId="6126B9DA" w14:textId="77777777" w:rsidR="005C7388" w:rsidRPr="00F10297" w:rsidRDefault="005C7388" w:rsidP="00F10297">
      <w:pPr>
        <w:rPr>
          <w:rFonts w:ascii="Times" w:eastAsia="Times New Roman" w:hAnsi="Times" w:cs="Times New Roman"/>
          <w:sz w:val="20"/>
          <w:szCs w:val="20"/>
        </w:rPr>
      </w:pPr>
    </w:p>
    <w:p w14:paraId="004C9512" w14:textId="52245D22" w:rsidR="00CF2F38" w:rsidRPr="00CF2F38" w:rsidRDefault="00CF2F38" w:rsidP="00ED15E2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CF2F38">
        <w:rPr>
          <w:rFonts w:asciiTheme="majorBidi" w:hAnsiTheme="majorBidi" w:cstheme="majorBidi"/>
          <w:b/>
          <w:bCs/>
        </w:rPr>
        <w:t>Abstract</w:t>
      </w:r>
    </w:p>
    <w:p w14:paraId="1A8FF9A6" w14:textId="2279AF94" w:rsidR="00ED15E2" w:rsidRPr="00BD6E24" w:rsidRDefault="0003727E" w:rsidP="00ED15E2">
      <w:pPr>
        <w:spacing w:line="360" w:lineRule="auto"/>
        <w:jc w:val="both"/>
        <w:rPr>
          <w:rFonts w:asciiTheme="majorBidi" w:hAnsiTheme="majorBidi" w:cstheme="majorBidi"/>
          <w:sz w:val="22"/>
          <w:szCs w:val="22"/>
        </w:rPr>
      </w:pPr>
      <w:r w:rsidRPr="00BD6E24">
        <w:rPr>
          <w:rFonts w:asciiTheme="majorBidi" w:hAnsiTheme="majorBidi" w:cstheme="majorBidi"/>
          <w:sz w:val="22"/>
          <w:szCs w:val="22"/>
        </w:rPr>
        <w:t xml:space="preserve">The switch from fetal γ to β globin gene expression occurs at birth. Genetic regulation of this switch has been studied for decades, and </w:t>
      </w:r>
      <w:r w:rsidR="003B5EC7" w:rsidRPr="00BD6E24">
        <w:rPr>
          <w:rFonts w:asciiTheme="majorBidi" w:hAnsiTheme="majorBidi" w:cstheme="majorBidi"/>
          <w:sz w:val="22"/>
          <w:szCs w:val="22"/>
        </w:rPr>
        <w:t xml:space="preserve">change of </w:t>
      </w:r>
      <w:r w:rsidRPr="00BD6E24">
        <w:rPr>
          <w:rFonts w:asciiTheme="majorBidi" w:hAnsiTheme="majorBidi" w:cstheme="majorBidi"/>
          <w:sz w:val="22"/>
          <w:szCs w:val="22"/>
        </w:rPr>
        <w:t>molecular mechanisms in gene</w:t>
      </w:r>
      <w:r w:rsidR="003B5EC7" w:rsidRPr="00BD6E24">
        <w:rPr>
          <w:rFonts w:asciiTheme="majorBidi" w:hAnsiTheme="majorBidi" w:cstheme="majorBidi"/>
          <w:sz w:val="22"/>
          <w:szCs w:val="22"/>
        </w:rPr>
        <w:t xml:space="preserve">s expression have been </w:t>
      </w:r>
      <w:r w:rsidRPr="00BD6E24">
        <w:rPr>
          <w:rFonts w:asciiTheme="majorBidi" w:hAnsiTheme="majorBidi" w:cstheme="majorBidi"/>
          <w:sz w:val="22"/>
          <w:szCs w:val="22"/>
        </w:rPr>
        <w:t xml:space="preserve">elucidated. </w:t>
      </w:r>
      <w:r w:rsidR="00ED15E2" w:rsidRPr="00BD6E24">
        <w:rPr>
          <w:rFonts w:asciiTheme="majorBidi" w:hAnsiTheme="majorBidi" w:cstheme="majorBidi"/>
          <w:sz w:val="22"/>
          <w:szCs w:val="22"/>
        </w:rPr>
        <w:t xml:space="preserve">Increased levels of fetal hemoglobin are associated with decreased symptoms and increased life span in patients with sickle cell disease (SCD) </w:t>
      </w:r>
      <w:r w:rsidRPr="00BD6E24">
        <w:rPr>
          <w:rFonts w:asciiTheme="majorBidi" w:hAnsiTheme="majorBidi" w:cstheme="majorBidi"/>
          <w:sz w:val="22"/>
          <w:szCs w:val="22"/>
        </w:rPr>
        <w:t xml:space="preserve">and β-thalassemia. </w:t>
      </w:r>
      <w:r w:rsidR="00ED15E2" w:rsidRPr="00BD6E24">
        <w:rPr>
          <w:rFonts w:asciiTheme="majorBidi" w:hAnsiTheme="majorBidi" w:cstheme="majorBidi"/>
          <w:sz w:val="22"/>
          <w:szCs w:val="22"/>
        </w:rPr>
        <w:t xml:space="preserve">Hydroxyurea, </w:t>
      </w:r>
      <w:r w:rsidR="002A3FB8" w:rsidRPr="00BD6E24">
        <w:rPr>
          <w:rFonts w:asciiTheme="majorBidi" w:hAnsiTheme="majorBidi" w:cstheme="majorBidi"/>
          <w:sz w:val="22"/>
          <w:szCs w:val="22"/>
        </w:rPr>
        <w:t xml:space="preserve">is drug for SCD </w:t>
      </w:r>
      <w:r w:rsidR="00ED15E2" w:rsidRPr="00BD6E24">
        <w:rPr>
          <w:rFonts w:asciiTheme="majorBidi" w:hAnsiTheme="majorBidi" w:cstheme="majorBidi"/>
          <w:sz w:val="22"/>
          <w:szCs w:val="22"/>
        </w:rPr>
        <w:t xml:space="preserve">is not </w:t>
      </w:r>
      <w:r w:rsidR="002A3FB8" w:rsidRPr="00BD6E24">
        <w:rPr>
          <w:rFonts w:asciiTheme="majorBidi" w:hAnsiTheme="majorBidi" w:cstheme="majorBidi"/>
          <w:sz w:val="22"/>
          <w:szCs w:val="22"/>
        </w:rPr>
        <w:t xml:space="preserve">beneficial </w:t>
      </w:r>
      <w:r w:rsidR="00ED15E2" w:rsidRPr="00BD6E24">
        <w:rPr>
          <w:rFonts w:asciiTheme="majorBidi" w:hAnsiTheme="majorBidi" w:cstheme="majorBidi"/>
          <w:sz w:val="22"/>
          <w:szCs w:val="22"/>
        </w:rPr>
        <w:t xml:space="preserve">in </w:t>
      </w:r>
      <w:r w:rsidR="002A3FB8" w:rsidRPr="00BD6E24">
        <w:rPr>
          <w:rFonts w:asciiTheme="majorBidi" w:hAnsiTheme="majorBidi" w:cstheme="majorBidi"/>
          <w:sz w:val="22"/>
          <w:szCs w:val="22"/>
        </w:rPr>
        <w:t xml:space="preserve">cure </w:t>
      </w:r>
      <w:r w:rsidR="00ED15E2" w:rsidRPr="00BD6E24">
        <w:rPr>
          <w:rFonts w:asciiTheme="majorBidi" w:hAnsiTheme="majorBidi" w:cstheme="majorBidi"/>
          <w:sz w:val="22"/>
          <w:szCs w:val="22"/>
        </w:rPr>
        <w:t xml:space="preserve">patients and therefore new </w:t>
      </w:r>
      <w:r w:rsidR="002A3FB8" w:rsidRPr="00BD6E24">
        <w:rPr>
          <w:rFonts w:asciiTheme="majorBidi" w:hAnsiTheme="majorBidi" w:cstheme="majorBidi"/>
          <w:sz w:val="22"/>
          <w:szCs w:val="22"/>
        </w:rPr>
        <w:t xml:space="preserve">drugs or </w:t>
      </w:r>
      <w:r w:rsidR="00ED15E2" w:rsidRPr="00BD6E24">
        <w:rPr>
          <w:rFonts w:asciiTheme="majorBidi" w:hAnsiTheme="majorBidi" w:cstheme="majorBidi"/>
          <w:sz w:val="22"/>
          <w:szCs w:val="22"/>
        </w:rPr>
        <w:t xml:space="preserve">agents are needed. Recently it was shown that Lysine </w:t>
      </w:r>
      <w:r w:rsidR="00CF2F38" w:rsidRPr="00BD6E24">
        <w:rPr>
          <w:rFonts w:asciiTheme="majorBidi" w:hAnsiTheme="majorBidi" w:cstheme="majorBidi"/>
          <w:sz w:val="22"/>
          <w:szCs w:val="22"/>
        </w:rPr>
        <w:t>Specific</w:t>
      </w:r>
      <w:r w:rsidR="00ED15E2" w:rsidRPr="00BD6E24">
        <w:rPr>
          <w:rFonts w:asciiTheme="majorBidi" w:hAnsiTheme="majorBidi" w:cstheme="majorBidi"/>
          <w:sz w:val="22"/>
          <w:szCs w:val="22"/>
        </w:rPr>
        <w:t xml:space="preserve"> Demethylase-1 (LSD1), an enzyme that removes monomethyl and dimethyl residues from the lysine 4 residue of histone H3, is a repressor of γ- globin gene expression. In this </w:t>
      </w:r>
      <w:r w:rsidR="00CF2F38" w:rsidRPr="00BD6E24">
        <w:rPr>
          <w:rFonts w:asciiTheme="majorBidi" w:hAnsiTheme="majorBidi" w:cstheme="majorBidi"/>
          <w:sz w:val="22"/>
          <w:szCs w:val="22"/>
        </w:rPr>
        <w:t>report,</w:t>
      </w:r>
      <w:r w:rsidR="00ED15E2" w:rsidRPr="00BD6E24">
        <w:rPr>
          <w:rFonts w:asciiTheme="majorBidi" w:hAnsiTheme="majorBidi" w:cstheme="majorBidi"/>
          <w:sz w:val="22"/>
          <w:szCs w:val="22"/>
        </w:rPr>
        <w:t xml:space="preserve"> we </w:t>
      </w:r>
      <w:r w:rsidR="003B5EC7" w:rsidRPr="00BD6E24">
        <w:rPr>
          <w:rFonts w:asciiTheme="majorBidi" w:hAnsiTheme="majorBidi" w:cstheme="majorBidi"/>
          <w:sz w:val="22"/>
          <w:szCs w:val="22"/>
        </w:rPr>
        <w:t>inhibition of</w:t>
      </w:r>
      <w:r w:rsidRPr="00BD6E24">
        <w:rPr>
          <w:rFonts w:asciiTheme="majorBidi" w:hAnsiTheme="majorBidi" w:cstheme="majorBidi"/>
          <w:sz w:val="22"/>
          <w:szCs w:val="22"/>
        </w:rPr>
        <w:t xml:space="preserve"> </w:t>
      </w:r>
      <w:r w:rsidR="00ED15E2" w:rsidRPr="00BD6E24">
        <w:rPr>
          <w:rFonts w:asciiTheme="majorBidi" w:hAnsiTheme="majorBidi" w:cstheme="majorBidi"/>
          <w:sz w:val="22"/>
          <w:szCs w:val="22"/>
        </w:rPr>
        <w:t>LSD1</w:t>
      </w:r>
      <w:r w:rsidRPr="00BD6E24">
        <w:rPr>
          <w:rFonts w:asciiTheme="majorBidi" w:hAnsiTheme="majorBidi" w:cstheme="majorBidi"/>
          <w:sz w:val="22"/>
          <w:szCs w:val="22"/>
        </w:rPr>
        <w:t xml:space="preserve"> by GSK-LSD1 inhibitor in human erythroid </w:t>
      </w:r>
      <w:r w:rsidR="00ED15E2" w:rsidRPr="00BD6E24">
        <w:rPr>
          <w:rFonts w:asciiTheme="majorBidi" w:hAnsiTheme="majorBidi" w:cstheme="majorBidi"/>
          <w:sz w:val="22"/>
          <w:szCs w:val="22"/>
        </w:rPr>
        <w:t xml:space="preserve">CD34 </w:t>
      </w:r>
      <w:r w:rsidRPr="00BD6E24">
        <w:rPr>
          <w:rFonts w:asciiTheme="majorBidi" w:hAnsiTheme="majorBidi" w:cstheme="majorBidi"/>
          <w:sz w:val="22"/>
          <w:szCs w:val="22"/>
        </w:rPr>
        <w:t>cells</w:t>
      </w:r>
      <w:r w:rsidR="003B5EC7" w:rsidRPr="00BD6E24">
        <w:rPr>
          <w:rFonts w:asciiTheme="majorBidi" w:hAnsiTheme="majorBidi" w:cstheme="majorBidi"/>
          <w:sz w:val="22"/>
          <w:szCs w:val="22"/>
        </w:rPr>
        <w:t xml:space="preserve"> to increase γ globin. </w:t>
      </w:r>
    </w:p>
    <w:p w14:paraId="206910A6" w14:textId="385A4C23" w:rsidR="00545611" w:rsidRPr="00BD6E24" w:rsidRDefault="003B5EC7" w:rsidP="00545611">
      <w:pPr>
        <w:spacing w:line="360" w:lineRule="auto"/>
        <w:jc w:val="both"/>
        <w:rPr>
          <w:rFonts w:asciiTheme="majorBidi" w:hAnsiTheme="majorBidi" w:cstheme="majorBidi"/>
          <w:sz w:val="22"/>
          <w:szCs w:val="22"/>
        </w:rPr>
      </w:pPr>
      <w:r w:rsidRPr="00BD6E24">
        <w:rPr>
          <w:rFonts w:asciiTheme="majorBidi" w:hAnsiTheme="majorBidi" w:cstheme="majorBidi"/>
          <w:sz w:val="22"/>
          <w:szCs w:val="22"/>
        </w:rPr>
        <w:t>We</w:t>
      </w:r>
      <w:r w:rsidR="00ED15E2" w:rsidRPr="00BD6E24">
        <w:rPr>
          <w:rFonts w:asciiTheme="majorBidi" w:hAnsiTheme="majorBidi" w:cstheme="majorBidi"/>
          <w:sz w:val="22"/>
          <w:szCs w:val="22"/>
        </w:rPr>
        <w:t xml:space="preserve"> examined the effects of GSK-LSD1 </w:t>
      </w:r>
      <w:r w:rsidR="00545611" w:rsidRPr="00BD6E24">
        <w:rPr>
          <w:rFonts w:asciiTheme="majorBidi" w:hAnsiTheme="majorBidi" w:cstheme="majorBidi"/>
          <w:sz w:val="22"/>
          <w:szCs w:val="22"/>
        </w:rPr>
        <w:t xml:space="preserve">inhibitor </w:t>
      </w:r>
      <w:r w:rsidR="00ED15E2" w:rsidRPr="00BD6E24">
        <w:rPr>
          <w:rFonts w:asciiTheme="majorBidi" w:hAnsiTheme="majorBidi" w:cstheme="majorBidi"/>
          <w:sz w:val="22"/>
          <w:szCs w:val="22"/>
        </w:rPr>
        <w:t xml:space="preserve">on CD34 cells ex vivo. We treated cells with 0, 0.5, 1.5, 5 µM </w:t>
      </w:r>
      <w:r w:rsidR="00545611" w:rsidRPr="00BD6E24">
        <w:rPr>
          <w:rFonts w:asciiTheme="majorBidi" w:hAnsiTheme="majorBidi" w:cstheme="majorBidi"/>
          <w:sz w:val="22"/>
          <w:szCs w:val="22"/>
        </w:rPr>
        <w:t xml:space="preserve">GSK-LSD1 inhibitor </w:t>
      </w:r>
      <w:r w:rsidR="00ED15E2" w:rsidRPr="00BD6E24">
        <w:rPr>
          <w:rFonts w:asciiTheme="majorBidi" w:hAnsiTheme="majorBidi" w:cstheme="majorBidi"/>
          <w:sz w:val="22"/>
          <w:szCs w:val="22"/>
        </w:rPr>
        <w:t>on days 4–14 of the differentiation culture.</w:t>
      </w:r>
      <w:r w:rsidR="00545611" w:rsidRPr="00BD6E24">
        <w:rPr>
          <w:rFonts w:asciiTheme="majorBidi" w:hAnsiTheme="majorBidi" w:cstheme="majorBidi"/>
          <w:sz w:val="22"/>
          <w:szCs w:val="22"/>
        </w:rPr>
        <w:t xml:space="preserve"> Then analysis expression of LSD1 and γ globin genes with Real-time PCR was performed using the IQ</w:t>
      </w:r>
      <w:r w:rsidRPr="00BD6E24">
        <w:rPr>
          <w:rFonts w:asciiTheme="majorBidi" w:hAnsiTheme="majorBidi" w:cstheme="majorBidi"/>
          <w:sz w:val="22"/>
          <w:szCs w:val="22"/>
        </w:rPr>
        <w:t xml:space="preserve"> SYBR Green </w:t>
      </w:r>
      <w:r w:rsidR="004B1001" w:rsidRPr="00BD6E24">
        <w:rPr>
          <w:rFonts w:asciiTheme="majorBidi" w:hAnsiTheme="majorBidi" w:cstheme="majorBidi"/>
          <w:sz w:val="22"/>
          <w:szCs w:val="22"/>
        </w:rPr>
        <w:t>Master mix</w:t>
      </w:r>
      <w:r w:rsidRPr="00BD6E24">
        <w:rPr>
          <w:rFonts w:asciiTheme="majorBidi" w:hAnsiTheme="majorBidi" w:cstheme="majorBidi"/>
          <w:sz w:val="22"/>
          <w:szCs w:val="22"/>
        </w:rPr>
        <w:t xml:space="preserve">. </w:t>
      </w:r>
    </w:p>
    <w:p w14:paraId="79B084BF" w14:textId="7AD5E3FA" w:rsidR="007E2F8E" w:rsidRPr="00BD6E24" w:rsidRDefault="00545611" w:rsidP="007E2F8E">
      <w:pPr>
        <w:spacing w:line="360" w:lineRule="auto"/>
        <w:jc w:val="both"/>
        <w:rPr>
          <w:rFonts w:asciiTheme="majorBidi" w:hAnsiTheme="majorBidi" w:cstheme="majorBidi"/>
          <w:sz w:val="22"/>
          <w:szCs w:val="22"/>
        </w:rPr>
      </w:pPr>
      <w:r w:rsidRPr="00BD6E24">
        <w:rPr>
          <w:rFonts w:asciiTheme="majorBidi" w:hAnsiTheme="majorBidi" w:cstheme="majorBidi"/>
          <w:sz w:val="22"/>
          <w:szCs w:val="22"/>
        </w:rPr>
        <w:t xml:space="preserve">Result: </w:t>
      </w:r>
      <w:r w:rsidR="00A41E37" w:rsidRPr="00BD6E24">
        <w:rPr>
          <w:rFonts w:asciiTheme="majorBidi" w:hAnsiTheme="majorBidi" w:cstheme="majorBidi"/>
          <w:sz w:val="22"/>
          <w:szCs w:val="22"/>
        </w:rPr>
        <w:t>After treatment</w:t>
      </w:r>
      <w:r w:rsidR="007E2F8E" w:rsidRPr="00BD6E24">
        <w:rPr>
          <w:rFonts w:asciiTheme="majorBidi" w:hAnsiTheme="majorBidi" w:cstheme="majorBidi"/>
          <w:sz w:val="22"/>
          <w:szCs w:val="22"/>
        </w:rPr>
        <w:t xml:space="preserve"> in 1.5-µM concentration of inhibitor the means of </w:t>
      </w:r>
      <w:r w:rsidR="00A41E37" w:rsidRPr="00BD6E24">
        <w:rPr>
          <w:rFonts w:asciiTheme="majorBidi" w:hAnsiTheme="majorBidi" w:cstheme="majorBidi"/>
          <w:sz w:val="22"/>
          <w:szCs w:val="22"/>
        </w:rPr>
        <w:t xml:space="preserve">γ-globin mRNA expression was induced up to </w:t>
      </w:r>
      <w:r w:rsidR="00914A75" w:rsidRPr="00BD6E24">
        <w:rPr>
          <w:rFonts w:asciiTheme="majorBidi" w:hAnsiTheme="majorBidi" w:cstheme="majorBidi"/>
          <w:sz w:val="22"/>
          <w:szCs w:val="22"/>
        </w:rPr>
        <w:t>33-fold</w:t>
      </w:r>
      <w:r w:rsidR="00A41E37" w:rsidRPr="00BD6E24">
        <w:rPr>
          <w:rFonts w:asciiTheme="majorBidi" w:hAnsiTheme="majorBidi" w:cstheme="majorBidi"/>
          <w:sz w:val="22"/>
          <w:szCs w:val="22"/>
        </w:rPr>
        <w:t xml:space="preserve"> and </w:t>
      </w:r>
      <w:r w:rsidR="003B5EC7" w:rsidRPr="00BD6E24">
        <w:rPr>
          <w:rFonts w:asciiTheme="majorBidi" w:hAnsiTheme="majorBidi" w:cstheme="majorBidi"/>
          <w:sz w:val="22"/>
          <w:szCs w:val="22"/>
        </w:rPr>
        <w:t xml:space="preserve">observed decrease </w:t>
      </w:r>
      <w:r w:rsidR="00A41E37" w:rsidRPr="00BD6E24">
        <w:rPr>
          <w:rFonts w:asciiTheme="majorBidi" w:hAnsiTheme="majorBidi" w:cstheme="majorBidi"/>
          <w:sz w:val="22"/>
          <w:szCs w:val="22"/>
        </w:rPr>
        <w:t xml:space="preserve">LSD1 mRNA expression. </w:t>
      </w:r>
    </w:p>
    <w:p w14:paraId="03E1886E" w14:textId="16C7B056" w:rsidR="00A41E37" w:rsidRPr="00BD6E24" w:rsidRDefault="00A41E37" w:rsidP="00A41E37">
      <w:pPr>
        <w:spacing w:line="360" w:lineRule="auto"/>
        <w:jc w:val="both"/>
        <w:rPr>
          <w:rFonts w:asciiTheme="majorBidi" w:hAnsiTheme="majorBidi" w:cstheme="majorBidi"/>
          <w:sz w:val="22"/>
          <w:szCs w:val="22"/>
        </w:rPr>
      </w:pPr>
      <w:r w:rsidRPr="00BD6E24">
        <w:rPr>
          <w:rFonts w:asciiTheme="majorBidi" w:hAnsiTheme="majorBidi" w:cstheme="majorBidi"/>
          <w:sz w:val="22"/>
          <w:szCs w:val="22"/>
        </w:rPr>
        <w:t xml:space="preserve">According to </w:t>
      </w:r>
      <w:r w:rsidR="00AB154F" w:rsidRPr="00BD6E24">
        <w:rPr>
          <w:rFonts w:asciiTheme="majorBidi" w:hAnsiTheme="majorBidi" w:cstheme="majorBidi"/>
          <w:sz w:val="22"/>
          <w:szCs w:val="22"/>
        </w:rPr>
        <w:t>our results</w:t>
      </w:r>
      <w:r w:rsidRPr="00BD6E24">
        <w:rPr>
          <w:rFonts w:asciiTheme="majorBidi" w:hAnsiTheme="majorBidi" w:cstheme="majorBidi"/>
          <w:sz w:val="22"/>
          <w:szCs w:val="22"/>
        </w:rPr>
        <w:t xml:space="preserve"> suggest that LSD1 has </w:t>
      </w:r>
      <w:r w:rsidR="00CF2F38" w:rsidRPr="00BD6E24">
        <w:rPr>
          <w:rFonts w:asciiTheme="majorBidi" w:hAnsiTheme="majorBidi" w:cstheme="majorBidi"/>
          <w:sz w:val="22"/>
          <w:szCs w:val="22"/>
        </w:rPr>
        <w:t>an</w:t>
      </w:r>
      <w:r w:rsidRPr="00BD6E24">
        <w:rPr>
          <w:rFonts w:asciiTheme="majorBidi" w:hAnsiTheme="majorBidi" w:cstheme="majorBidi"/>
          <w:sz w:val="22"/>
          <w:szCs w:val="22"/>
        </w:rPr>
        <w:t xml:space="preserve"> </w:t>
      </w:r>
      <w:r w:rsidR="00D722CA" w:rsidRPr="00BD6E24">
        <w:rPr>
          <w:rFonts w:asciiTheme="majorBidi" w:hAnsiTheme="majorBidi" w:cstheme="majorBidi"/>
          <w:sz w:val="22"/>
          <w:szCs w:val="22"/>
        </w:rPr>
        <w:t>important</w:t>
      </w:r>
      <w:r w:rsidRPr="00BD6E24">
        <w:rPr>
          <w:rFonts w:asciiTheme="majorBidi" w:hAnsiTheme="majorBidi" w:cstheme="majorBidi"/>
          <w:sz w:val="22"/>
          <w:szCs w:val="22"/>
        </w:rPr>
        <w:t xml:space="preserve"> role in γ-globin silencing in adult erythroid cells and that GSK-LSD1 Inhibitor might be used to treat </w:t>
      </w:r>
      <w:r w:rsidR="00D722CA" w:rsidRPr="00BD6E24">
        <w:rPr>
          <w:rFonts w:asciiTheme="majorBidi" w:hAnsiTheme="majorBidi" w:cstheme="majorBidi"/>
          <w:sz w:val="22"/>
          <w:szCs w:val="22"/>
        </w:rPr>
        <w:t xml:space="preserve">SCD and </w:t>
      </w:r>
      <w:r w:rsidRPr="00BD6E24">
        <w:rPr>
          <w:rFonts w:asciiTheme="majorBidi" w:hAnsiTheme="majorBidi" w:cstheme="majorBidi"/>
          <w:sz w:val="22"/>
          <w:szCs w:val="22"/>
        </w:rPr>
        <w:t xml:space="preserve">β-globinopathies, </w:t>
      </w:r>
      <w:r w:rsidR="00D722CA" w:rsidRPr="00BD6E24">
        <w:rPr>
          <w:rFonts w:asciiTheme="majorBidi" w:hAnsiTheme="majorBidi" w:cstheme="majorBidi"/>
          <w:sz w:val="22"/>
          <w:szCs w:val="22"/>
        </w:rPr>
        <w:t>with increase</w:t>
      </w:r>
      <w:r w:rsidRPr="00BD6E24">
        <w:rPr>
          <w:rFonts w:asciiTheme="majorBidi" w:hAnsiTheme="majorBidi" w:cstheme="majorBidi"/>
          <w:sz w:val="22"/>
          <w:szCs w:val="22"/>
        </w:rPr>
        <w:t xml:space="preserve"> concentration for HbF induction is within the therapeutic plasma </w:t>
      </w:r>
      <w:r w:rsidR="00D722CA" w:rsidRPr="00BD6E24">
        <w:rPr>
          <w:rFonts w:asciiTheme="majorBidi" w:hAnsiTheme="majorBidi" w:cstheme="majorBidi"/>
          <w:sz w:val="22"/>
          <w:szCs w:val="22"/>
        </w:rPr>
        <w:t>concentration.</w:t>
      </w:r>
    </w:p>
    <w:p w14:paraId="176F12AB" w14:textId="50B96587" w:rsidR="005C7388" w:rsidRPr="002A3FB8" w:rsidRDefault="005C7388" w:rsidP="00A41E37">
      <w:pPr>
        <w:spacing w:line="360" w:lineRule="auto"/>
        <w:jc w:val="both"/>
        <w:rPr>
          <w:rFonts w:asciiTheme="majorBidi" w:hAnsiTheme="majorBidi" w:cstheme="majorBidi"/>
        </w:rPr>
      </w:pPr>
      <w:r w:rsidRPr="005C7388">
        <w:rPr>
          <w:rFonts w:asciiTheme="majorBidi" w:hAnsiTheme="majorBidi" w:cstheme="majorBidi"/>
          <w:b/>
          <w:bCs/>
        </w:rPr>
        <w:t>Key Word:</w:t>
      </w:r>
      <w:r>
        <w:rPr>
          <w:rFonts w:asciiTheme="majorBidi" w:hAnsiTheme="majorBidi" w:cstheme="majorBidi"/>
        </w:rPr>
        <w:t xml:space="preserve"> </w:t>
      </w:r>
      <w:r w:rsidRPr="00BD6E24">
        <w:rPr>
          <w:rFonts w:asciiTheme="majorBidi" w:hAnsiTheme="majorBidi" w:cstheme="majorBidi"/>
          <w:sz w:val="22"/>
          <w:szCs w:val="22"/>
        </w:rPr>
        <w:t>γ- globin, Lysine specific Demethylase-1, CD34, sickle cell disease</w:t>
      </w:r>
    </w:p>
    <w:sectPr w:rsidR="005C7388" w:rsidRPr="002A3FB8" w:rsidSect="009066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E353A7" w14:textId="77777777" w:rsidR="00200BC6" w:rsidRDefault="00200BC6" w:rsidP="007F4A88">
      <w:r>
        <w:separator/>
      </w:r>
    </w:p>
  </w:endnote>
  <w:endnote w:type="continuationSeparator" w:id="0">
    <w:p w14:paraId="396D48D7" w14:textId="77777777" w:rsidR="00200BC6" w:rsidRDefault="00200BC6" w:rsidP="007F4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E88044" w14:textId="77777777" w:rsidR="00200BC6" w:rsidRDefault="00200BC6" w:rsidP="007F4A88">
      <w:r>
        <w:separator/>
      </w:r>
    </w:p>
  </w:footnote>
  <w:footnote w:type="continuationSeparator" w:id="0">
    <w:p w14:paraId="53C6AB24" w14:textId="77777777" w:rsidR="00200BC6" w:rsidRDefault="00200BC6" w:rsidP="007F4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07939"/>
    <w:multiLevelType w:val="hybridMultilevel"/>
    <w:tmpl w:val="390CF3D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activeWritingStyle w:appName="MSWord" w:lang="en-US" w:vendorID="64" w:dllVersion="0" w:nlCheck="1" w:checkStyle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27E"/>
    <w:rsid w:val="0003727E"/>
    <w:rsid w:val="00200BC6"/>
    <w:rsid w:val="00263AEA"/>
    <w:rsid w:val="002A3FB8"/>
    <w:rsid w:val="003B5EC7"/>
    <w:rsid w:val="003D331D"/>
    <w:rsid w:val="004B1001"/>
    <w:rsid w:val="004F7D54"/>
    <w:rsid w:val="00545611"/>
    <w:rsid w:val="005C7388"/>
    <w:rsid w:val="00696837"/>
    <w:rsid w:val="007E2F8E"/>
    <w:rsid w:val="007F4A88"/>
    <w:rsid w:val="008248FA"/>
    <w:rsid w:val="0090663D"/>
    <w:rsid w:val="00914A75"/>
    <w:rsid w:val="009D6439"/>
    <w:rsid w:val="00A04298"/>
    <w:rsid w:val="00A41E37"/>
    <w:rsid w:val="00AB154F"/>
    <w:rsid w:val="00B266D9"/>
    <w:rsid w:val="00BD6E24"/>
    <w:rsid w:val="00C444B4"/>
    <w:rsid w:val="00CF2F38"/>
    <w:rsid w:val="00D722CA"/>
    <w:rsid w:val="00D869FE"/>
    <w:rsid w:val="00ED15E2"/>
    <w:rsid w:val="00F1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;"/>
  <w14:docId w14:val="4D9B07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2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4A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A88"/>
  </w:style>
  <w:style w:type="paragraph" w:styleId="Footer">
    <w:name w:val="footer"/>
    <w:basedOn w:val="Normal"/>
    <w:link w:val="FooterChar"/>
    <w:uiPriority w:val="99"/>
    <w:unhideWhenUsed/>
    <w:rsid w:val="007F4A8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A88"/>
  </w:style>
  <w:style w:type="character" w:styleId="Hyperlink">
    <w:name w:val="Hyperlink"/>
    <w:basedOn w:val="DefaultParagraphFont"/>
    <w:uiPriority w:val="99"/>
    <w:unhideWhenUsed/>
    <w:rsid w:val="007F4A8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4A8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2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4A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A88"/>
  </w:style>
  <w:style w:type="paragraph" w:styleId="Footer">
    <w:name w:val="footer"/>
    <w:basedOn w:val="Normal"/>
    <w:link w:val="FooterChar"/>
    <w:uiPriority w:val="99"/>
    <w:unhideWhenUsed/>
    <w:rsid w:val="007F4A8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A88"/>
  </w:style>
  <w:style w:type="character" w:styleId="Hyperlink">
    <w:name w:val="Hyperlink"/>
    <w:basedOn w:val="DefaultParagraphFont"/>
    <w:uiPriority w:val="99"/>
    <w:unhideWhenUsed/>
    <w:rsid w:val="007F4A8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4A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lvandyadola@yaho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Yadallah</dc:creator>
  <cp:lastModifiedBy>A</cp:lastModifiedBy>
  <cp:revision>3</cp:revision>
  <dcterms:created xsi:type="dcterms:W3CDTF">2017-07-23T07:46:00Z</dcterms:created>
  <dcterms:modified xsi:type="dcterms:W3CDTF">2017-07-23T07:50:00Z</dcterms:modified>
</cp:coreProperties>
</file>