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CD9" w:rsidRDefault="00E95CD9" w:rsidP="00E95CD9">
      <w:pPr>
        <w:ind w:left="2880" w:firstLine="720"/>
        <w:rPr>
          <w:rFonts w:ascii="Times New Roman" w:hAnsi="Times New Roman" w:cs="Times New Roman"/>
          <w:b/>
          <w:sz w:val="24"/>
          <w:szCs w:val="24"/>
        </w:rPr>
      </w:pPr>
      <w:bookmarkStart w:id="0" w:name="_GoBack"/>
      <w:bookmarkEnd w:id="0"/>
      <w:r>
        <w:rPr>
          <w:rFonts w:ascii="Times New Roman" w:hAnsi="Times New Roman" w:cs="Times New Roman"/>
          <w:b/>
          <w:sz w:val="24"/>
          <w:szCs w:val="24"/>
        </w:rPr>
        <w:t>ABSTACT</w:t>
      </w:r>
    </w:p>
    <w:p w:rsidR="006D1B07" w:rsidRDefault="006D1B07" w:rsidP="006D1B07">
      <w:pPr>
        <w:jc w:val="center"/>
        <w:rPr>
          <w:rFonts w:ascii="Times New Roman" w:hAnsi="Times New Roman" w:cs="Times New Roman"/>
          <w:b/>
          <w:sz w:val="24"/>
          <w:szCs w:val="24"/>
        </w:rPr>
      </w:pPr>
      <w:r>
        <w:rPr>
          <w:rFonts w:ascii="Times New Roman" w:hAnsi="Times New Roman" w:cs="Times New Roman"/>
          <w:b/>
          <w:sz w:val="24"/>
          <w:szCs w:val="24"/>
        </w:rPr>
        <w:t>PROGNOSTIC RELEVANCE OF TUMOR NECROSIS FACTOR ALPHA (TNF) AND BETA 2 MICROGLOBULIN (B2M) INACUTE MYELOID LEUKEMIA (AML)</w:t>
      </w:r>
    </w:p>
    <w:p w:rsidR="006D1B07" w:rsidRDefault="006D1B07" w:rsidP="006D1B07">
      <w:pPr>
        <w:jc w:val="both"/>
        <w:rPr>
          <w:rFonts w:ascii="Times New Roman" w:hAnsi="Times New Roman" w:cs="Times New Roman"/>
          <w:sz w:val="24"/>
          <w:szCs w:val="24"/>
        </w:rPr>
      </w:pPr>
      <w:r>
        <w:rPr>
          <w:rFonts w:ascii="Times New Roman" w:hAnsi="Times New Roman" w:cs="Times New Roman"/>
          <w:sz w:val="24"/>
          <w:szCs w:val="24"/>
        </w:rPr>
        <w:t>Categ</w:t>
      </w:r>
      <w:r w:rsidR="00E95CD9">
        <w:rPr>
          <w:rFonts w:ascii="Times New Roman" w:hAnsi="Times New Roman" w:cs="Times New Roman"/>
          <w:sz w:val="24"/>
          <w:szCs w:val="24"/>
        </w:rPr>
        <w:t>ory: Biomarkers in Haematology</w:t>
      </w:r>
    </w:p>
    <w:p w:rsidR="006D1B07" w:rsidRDefault="00E95CD9" w:rsidP="006D1B07">
      <w:pPr>
        <w:jc w:val="both"/>
        <w:rPr>
          <w:rFonts w:ascii="Times New Roman" w:hAnsi="Times New Roman" w:cs="Times New Roman"/>
          <w:sz w:val="24"/>
          <w:szCs w:val="24"/>
        </w:rPr>
      </w:pPr>
      <w:r w:rsidRPr="00E95CD9">
        <w:rPr>
          <w:rFonts w:ascii="Times New Roman" w:hAnsi="Times New Roman" w:cs="Times New Roman"/>
          <w:b/>
          <w:sz w:val="24"/>
          <w:szCs w:val="24"/>
          <w:u w:val="single"/>
        </w:rPr>
        <w:t>Dokwal S</w:t>
      </w:r>
      <w:r>
        <w:rPr>
          <w:rFonts w:ascii="Times New Roman" w:hAnsi="Times New Roman" w:cs="Times New Roman"/>
          <w:sz w:val="24"/>
          <w:szCs w:val="24"/>
          <w:vertAlign w:val="superscript"/>
        </w:rPr>
        <w:t>*</w:t>
      </w:r>
      <w:r w:rsidR="006D1B07">
        <w:rPr>
          <w:rFonts w:ascii="Times New Roman" w:hAnsi="Times New Roman" w:cs="Times New Roman"/>
          <w:b/>
          <w:sz w:val="24"/>
          <w:szCs w:val="24"/>
        </w:rPr>
        <w:t xml:space="preserve">, </w:t>
      </w:r>
      <w:proofErr w:type="spellStart"/>
      <w:r w:rsidR="006D1B07">
        <w:rPr>
          <w:rFonts w:ascii="Times New Roman" w:hAnsi="Times New Roman" w:cs="Times New Roman"/>
          <w:sz w:val="24"/>
          <w:szCs w:val="24"/>
        </w:rPr>
        <w:t>Ghalaut</w:t>
      </w:r>
      <w:proofErr w:type="spellEnd"/>
      <w:r w:rsidR="006D1B07">
        <w:rPr>
          <w:rFonts w:ascii="Times New Roman" w:hAnsi="Times New Roman" w:cs="Times New Roman"/>
          <w:sz w:val="24"/>
          <w:szCs w:val="24"/>
        </w:rPr>
        <w:t xml:space="preserve"> VS</w:t>
      </w:r>
      <w:r w:rsidR="006D1B07">
        <w:rPr>
          <w:rFonts w:ascii="Times New Roman" w:hAnsi="Times New Roman" w:cs="Times New Roman"/>
          <w:b/>
          <w:sz w:val="24"/>
          <w:szCs w:val="24"/>
          <w:vertAlign w:val="superscript"/>
        </w:rPr>
        <w:t>*</w:t>
      </w:r>
      <w:r w:rsidR="006D1B07">
        <w:rPr>
          <w:rFonts w:ascii="Times New Roman" w:hAnsi="Times New Roman" w:cs="Times New Roman"/>
          <w:sz w:val="24"/>
          <w:szCs w:val="24"/>
        </w:rPr>
        <w:t xml:space="preserve">, </w:t>
      </w:r>
      <w:proofErr w:type="spellStart"/>
      <w:r w:rsidR="006D1B07">
        <w:rPr>
          <w:rFonts w:ascii="Times New Roman" w:hAnsi="Times New Roman" w:cs="Times New Roman"/>
          <w:sz w:val="24"/>
          <w:szCs w:val="24"/>
        </w:rPr>
        <w:t>Ghalaut</w:t>
      </w:r>
      <w:proofErr w:type="spellEnd"/>
      <w:r w:rsidR="006D1B07">
        <w:rPr>
          <w:rFonts w:ascii="Times New Roman" w:hAnsi="Times New Roman" w:cs="Times New Roman"/>
          <w:sz w:val="24"/>
          <w:szCs w:val="24"/>
        </w:rPr>
        <w:t xml:space="preserve"> PS</w:t>
      </w:r>
      <w:r w:rsidR="006D1B07">
        <w:rPr>
          <w:rFonts w:ascii="Times New Roman" w:hAnsi="Times New Roman" w:cs="Times New Roman"/>
          <w:sz w:val="24"/>
          <w:szCs w:val="24"/>
          <w:vertAlign w:val="superscript"/>
        </w:rPr>
        <w:t>#</w:t>
      </w:r>
      <w:r w:rsidR="006D1B07">
        <w:rPr>
          <w:rFonts w:ascii="Times New Roman" w:hAnsi="Times New Roman" w:cs="Times New Roman"/>
          <w:sz w:val="24"/>
          <w:szCs w:val="24"/>
        </w:rPr>
        <w:t xml:space="preserve">, </w:t>
      </w:r>
      <w:proofErr w:type="spellStart"/>
      <w:r w:rsidR="006D1B07">
        <w:rPr>
          <w:rFonts w:ascii="Times New Roman" w:hAnsi="Times New Roman" w:cs="Times New Roman"/>
          <w:sz w:val="24"/>
          <w:szCs w:val="24"/>
        </w:rPr>
        <w:t>Bansal</w:t>
      </w:r>
      <w:proofErr w:type="spellEnd"/>
      <w:r w:rsidR="006D1B07">
        <w:rPr>
          <w:rFonts w:ascii="Times New Roman" w:hAnsi="Times New Roman" w:cs="Times New Roman"/>
          <w:sz w:val="24"/>
          <w:szCs w:val="24"/>
        </w:rPr>
        <w:t xml:space="preserve"> P</w:t>
      </w:r>
      <w:r w:rsidR="006D1B07">
        <w:rPr>
          <w:rFonts w:ascii="Times New Roman" w:hAnsi="Times New Roman" w:cs="Times New Roman"/>
          <w:b/>
          <w:sz w:val="24"/>
          <w:szCs w:val="24"/>
          <w:vertAlign w:val="superscript"/>
        </w:rPr>
        <w:t>*</w:t>
      </w:r>
    </w:p>
    <w:p w:rsidR="006D1B07" w:rsidRDefault="006D1B07" w:rsidP="006D1B07">
      <w:pPr>
        <w:jc w:val="both"/>
        <w:rPr>
          <w:rFonts w:ascii="Times New Roman" w:hAnsi="Times New Roman" w:cs="Times New Roman"/>
          <w:sz w:val="24"/>
          <w:szCs w:val="24"/>
        </w:rPr>
      </w:pPr>
      <w:r>
        <w:rPr>
          <w:rFonts w:ascii="Times New Roman" w:hAnsi="Times New Roman" w:cs="Times New Roman"/>
          <w:sz w:val="24"/>
          <w:szCs w:val="24"/>
        </w:rPr>
        <w:t>Department of Biochemistry</w:t>
      </w:r>
      <w:r>
        <w:rPr>
          <w:rFonts w:ascii="Times New Roman" w:hAnsi="Times New Roman" w:cs="Times New Roman"/>
          <w:sz w:val="24"/>
          <w:szCs w:val="24"/>
          <w:vertAlign w:val="superscript"/>
        </w:rPr>
        <w:t>*</w:t>
      </w:r>
      <w:r>
        <w:rPr>
          <w:rFonts w:ascii="Times New Roman" w:hAnsi="Times New Roman" w:cs="Times New Roman"/>
          <w:sz w:val="24"/>
          <w:szCs w:val="24"/>
        </w:rPr>
        <w:t xml:space="preserve"> and Medicine</w:t>
      </w:r>
      <w:r>
        <w:rPr>
          <w:rFonts w:ascii="Times New Roman" w:hAnsi="Times New Roman" w:cs="Times New Roman"/>
          <w:sz w:val="24"/>
          <w:szCs w:val="24"/>
          <w:vertAlign w:val="superscript"/>
        </w:rPr>
        <w:t>#</w:t>
      </w:r>
      <w:r>
        <w:rPr>
          <w:rFonts w:ascii="Times New Roman" w:hAnsi="Times New Roman" w:cs="Times New Roman"/>
          <w:sz w:val="24"/>
          <w:szCs w:val="24"/>
        </w:rPr>
        <w:t xml:space="preserve">, PGIMS Rohtak </w:t>
      </w:r>
    </w:p>
    <w:p w:rsidR="006D1B07" w:rsidRDefault="006D1B07" w:rsidP="006D1B07">
      <w:pPr>
        <w:jc w:val="both"/>
        <w:rPr>
          <w:rFonts w:ascii="Times New Roman" w:hAnsi="Times New Roman" w:cs="Times New Roman"/>
          <w:sz w:val="24"/>
          <w:szCs w:val="24"/>
        </w:rPr>
      </w:pPr>
      <w:r>
        <w:rPr>
          <w:rFonts w:ascii="Times New Roman" w:hAnsi="Times New Roman" w:cs="Times New Roman"/>
          <w:b/>
          <w:bCs/>
          <w:sz w:val="24"/>
          <w:szCs w:val="24"/>
        </w:rPr>
        <w:t>Objective</w:t>
      </w:r>
      <w:r>
        <w:rPr>
          <w:rFonts w:ascii="Times New Roman" w:hAnsi="Times New Roman" w:cs="Times New Roman"/>
          <w:sz w:val="24"/>
          <w:szCs w:val="24"/>
        </w:rPr>
        <w:t xml:space="preserve">: TNF is a major regulatory cytokine which stimulates proliferation of dividing cells while inducing apoptosis in mature progeny. B2M, a known prognostic factor in multiple myeloma and reflects </w:t>
      </w:r>
      <w:proofErr w:type="spellStart"/>
      <w:r>
        <w:rPr>
          <w:rFonts w:ascii="Times New Roman" w:hAnsi="Times New Roman" w:cs="Times New Roman"/>
          <w:sz w:val="24"/>
          <w:szCs w:val="24"/>
        </w:rPr>
        <w:t>tumor</w:t>
      </w:r>
      <w:proofErr w:type="spellEnd"/>
      <w:r>
        <w:rPr>
          <w:rFonts w:ascii="Times New Roman" w:hAnsi="Times New Roman" w:cs="Times New Roman"/>
          <w:sz w:val="24"/>
          <w:szCs w:val="24"/>
        </w:rPr>
        <w:t xml:space="preserve"> burden and turnover. While in vitro studies have shown conflicting effects of TNF on AML cells few clinical studies have shown TNF and B2M to have prognostic relevance in AML. The study was planned to evaluate the status of TNF and B2M in patients of AML before and after chemotherapy.</w:t>
      </w:r>
    </w:p>
    <w:p w:rsidR="006D1B07" w:rsidRDefault="006D1B07" w:rsidP="006D1B07">
      <w:pPr>
        <w:jc w:val="both"/>
        <w:rPr>
          <w:rFonts w:ascii="Times New Roman" w:hAnsi="Times New Roman" w:cs="Times New Roman"/>
          <w:sz w:val="24"/>
          <w:szCs w:val="24"/>
        </w:rPr>
      </w:pPr>
      <w:r>
        <w:rPr>
          <w:rFonts w:ascii="Times New Roman" w:hAnsi="Times New Roman" w:cs="Times New Roman"/>
          <w:b/>
          <w:bCs/>
          <w:sz w:val="24"/>
          <w:szCs w:val="24"/>
        </w:rPr>
        <w:t>Methodology</w:t>
      </w:r>
      <w:r>
        <w:rPr>
          <w:rFonts w:ascii="Times New Roman" w:hAnsi="Times New Roman" w:cs="Times New Roman"/>
          <w:sz w:val="24"/>
          <w:szCs w:val="24"/>
        </w:rPr>
        <w:t xml:space="preserve">: 15 newly diagnosed cases of AML&amp; 30 age and sex matched healthy controls were taken.AML patients were treated with </w:t>
      </w:r>
      <w:proofErr w:type="gramStart"/>
      <w:r>
        <w:rPr>
          <w:rFonts w:ascii="Times New Roman" w:hAnsi="Times New Roman" w:cs="Times New Roman"/>
          <w:sz w:val="24"/>
          <w:szCs w:val="24"/>
        </w:rPr>
        <w:t>a combination</w:t>
      </w:r>
      <w:proofErr w:type="gramEnd"/>
      <w:r>
        <w:rPr>
          <w:rFonts w:ascii="Times New Roman" w:hAnsi="Times New Roman" w:cs="Times New Roman"/>
          <w:sz w:val="24"/>
          <w:szCs w:val="24"/>
        </w:rPr>
        <w:t xml:space="preserve"> chemotherapy of </w:t>
      </w:r>
      <w:proofErr w:type="spellStart"/>
      <w:r>
        <w:rPr>
          <w:rFonts w:ascii="Times New Roman" w:hAnsi="Times New Roman" w:cs="Times New Roman"/>
          <w:sz w:val="24"/>
          <w:szCs w:val="24"/>
        </w:rPr>
        <w:t>cytarabine</w:t>
      </w:r>
      <w:proofErr w:type="spellEnd"/>
      <w:r>
        <w:rPr>
          <w:rFonts w:ascii="Times New Roman" w:hAnsi="Times New Roman" w:cs="Times New Roman"/>
          <w:sz w:val="24"/>
          <w:szCs w:val="24"/>
        </w:rPr>
        <w:t xml:space="preserve"> and an </w:t>
      </w:r>
      <w:proofErr w:type="spellStart"/>
      <w:r>
        <w:rPr>
          <w:rFonts w:ascii="Times New Roman" w:hAnsi="Times New Roman" w:cs="Times New Roman"/>
          <w:sz w:val="24"/>
          <w:szCs w:val="24"/>
        </w:rPr>
        <w:t>anthracycline</w:t>
      </w:r>
      <w:proofErr w:type="spellEnd"/>
      <w:r>
        <w:rPr>
          <w:rFonts w:ascii="Times New Roman" w:hAnsi="Times New Roman" w:cs="Times New Roman"/>
          <w:sz w:val="24"/>
          <w:szCs w:val="24"/>
        </w:rPr>
        <w:t xml:space="preserve">. Routine </w:t>
      </w:r>
      <w:proofErr w:type="spellStart"/>
      <w:r>
        <w:rPr>
          <w:rFonts w:ascii="Times New Roman" w:hAnsi="Times New Roman" w:cs="Times New Roman"/>
          <w:sz w:val="24"/>
          <w:szCs w:val="24"/>
        </w:rPr>
        <w:t>biochemistry</w:t>
      </w:r>
      <w:proofErr w:type="gramStart"/>
      <w:r>
        <w:rPr>
          <w:rFonts w:ascii="Times New Roman" w:hAnsi="Times New Roman" w:cs="Times New Roman"/>
          <w:sz w:val="24"/>
          <w:szCs w:val="24"/>
        </w:rPr>
        <w:t>,complete</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hemogram</w:t>
      </w:r>
      <w:proofErr w:type="spellEnd"/>
      <w:r>
        <w:rPr>
          <w:rFonts w:ascii="Times New Roman" w:hAnsi="Times New Roman" w:cs="Times New Roman"/>
          <w:sz w:val="24"/>
          <w:szCs w:val="24"/>
        </w:rPr>
        <w:t xml:space="preserve">, serum TNF and B2M were </w:t>
      </w:r>
      <w:proofErr w:type="spellStart"/>
      <w:r>
        <w:rPr>
          <w:rFonts w:ascii="Times New Roman" w:hAnsi="Times New Roman" w:cs="Times New Roman"/>
          <w:sz w:val="24"/>
          <w:szCs w:val="24"/>
        </w:rPr>
        <w:t>performedin</w:t>
      </w:r>
      <w:proofErr w:type="spellEnd"/>
      <w:r>
        <w:rPr>
          <w:rFonts w:ascii="Times New Roman" w:hAnsi="Times New Roman" w:cs="Times New Roman"/>
          <w:sz w:val="24"/>
          <w:szCs w:val="24"/>
        </w:rPr>
        <w:t xml:space="preserve"> newly diagnosed patients before treatment and in controls. The investigations were </w:t>
      </w:r>
      <w:proofErr w:type="gramStart"/>
      <w:r>
        <w:rPr>
          <w:rFonts w:ascii="Times New Roman" w:hAnsi="Times New Roman" w:cs="Times New Roman"/>
          <w:sz w:val="24"/>
          <w:szCs w:val="24"/>
        </w:rPr>
        <w:t>repeated</w:t>
      </w:r>
      <w:proofErr w:type="gramEnd"/>
      <w:r>
        <w:rPr>
          <w:rFonts w:ascii="Times New Roman" w:hAnsi="Times New Roman" w:cs="Times New Roman"/>
          <w:sz w:val="24"/>
          <w:szCs w:val="24"/>
        </w:rPr>
        <w:t xml:space="preserve"> at first complete remission or after 4 weeks of chemotherapy (whichever is earlier).TNF and B2M were measured by ELISA.</w:t>
      </w:r>
    </w:p>
    <w:p w:rsidR="006D1B07" w:rsidRDefault="006D1B07" w:rsidP="006D1B07">
      <w:pPr>
        <w:jc w:val="both"/>
        <w:rPr>
          <w:rFonts w:ascii="Times New Roman" w:hAnsi="Times New Roman" w:cs="Times New Roman"/>
          <w:sz w:val="24"/>
        </w:rPr>
      </w:pPr>
      <w:r>
        <w:rPr>
          <w:rFonts w:ascii="Times New Roman" w:hAnsi="Times New Roman" w:cs="Times New Roman"/>
          <w:b/>
          <w:bCs/>
          <w:sz w:val="24"/>
          <w:szCs w:val="24"/>
        </w:rPr>
        <w:t>Results: </w:t>
      </w:r>
      <w:r>
        <w:rPr>
          <w:rFonts w:ascii="Times New Roman" w:hAnsi="Times New Roman" w:cs="Times New Roman"/>
          <w:color w:val="000000"/>
          <w:sz w:val="24"/>
          <w:szCs w:val="24"/>
        </w:rPr>
        <w:t xml:space="preserve">60% patients achieved remission, 26.7% did not achieve remission and 13.3% </w:t>
      </w:r>
      <w:proofErr w:type="spellStart"/>
      <w:r>
        <w:rPr>
          <w:rFonts w:ascii="Times New Roman" w:hAnsi="Times New Roman" w:cs="Times New Roman"/>
          <w:color w:val="000000"/>
          <w:sz w:val="24"/>
          <w:szCs w:val="24"/>
        </w:rPr>
        <w:t>expired.BaselineTNF</w:t>
      </w:r>
      <w:proofErr w:type="spellEnd"/>
      <w:r>
        <w:rPr>
          <w:rFonts w:ascii="Times New Roman" w:hAnsi="Times New Roman" w:cs="Times New Roman"/>
          <w:color w:val="000000"/>
          <w:sz w:val="24"/>
          <w:szCs w:val="24"/>
        </w:rPr>
        <w:t xml:space="preserve"> and B2M levels were significantly raised in AML patients (TNF:7.32±23.24 pg/</w:t>
      </w:r>
      <w:proofErr w:type="spellStart"/>
      <w:r>
        <w:rPr>
          <w:rFonts w:ascii="Times New Roman" w:hAnsi="Times New Roman" w:cs="Times New Roman"/>
          <w:color w:val="000000"/>
          <w:sz w:val="24"/>
          <w:szCs w:val="24"/>
        </w:rPr>
        <w:t>mLvs</w:t>
      </w:r>
      <w:proofErr w:type="spellEnd"/>
      <w:r>
        <w:rPr>
          <w:rFonts w:ascii="Times New Roman" w:hAnsi="Times New Roman" w:cs="Times New Roman"/>
          <w:color w:val="000000"/>
          <w:sz w:val="24"/>
          <w:szCs w:val="24"/>
        </w:rPr>
        <w:t xml:space="preserve"> not-detectable, B2M:1.76±0.95µg/</w:t>
      </w:r>
      <w:proofErr w:type="spellStart"/>
      <w:r>
        <w:rPr>
          <w:rFonts w:ascii="Times New Roman" w:hAnsi="Times New Roman" w:cs="Times New Roman"/>
          <w:color w:val="000000"/>
          <w:sz w:val="24"/>
          <w:szCs w:val="24"/>
        </w:rPr>
        <w:t>mLvs</w:t>
      </w:r>
      <w:proofErr w:type="spellEnd"/>
      <w:r>
        <w:rPr>
          <w:rFonts w:ascii="Times New Roman" w:hAnsi="Times New Roman" w:cs="Times New Roman"/>
          <w:color w:val="000000"/>
          <w:sz w:val="24"/>
          <w:szCs w:val="24"/>
        </w:rPr>
        <w:t xml:space="preserve"> 0.99±0.67µg/</w:t>
      </w:r>
      <w:proofErr w:type="spellStart"/>
      <w:r>
        <w:rPr>
          <w:rFonts w:ascii="Times New Roman" w:hAnsi="Times New Roman" w:cs="Times New Roman"/>
          <w:color w:val="000000"/>
          <w:sz w:val="24"/>
          <w:szCs w:val="24"/>
        </w:rPr>
        <w:t>mL</w:t>
      </w:r>
      <w:proofErr w:type="spellEnd"/>
      <w:r>
        <w:rPr>
          <w:rFonts w:ascii="Times New Roman" w:hAnsi="Times New Roman" w:cs="Times New Roman"/>
          <w:color w:val="000000"/>
          <w:sz w:val="24"/>
          <w:szCs w:val="24"/>
        </w:rPr>
        <w:t>, p=0.004).</w:t>
      </w:r>
      <w:r>
        <w:rPr>
          <w:rFonts w:ascii="Times New Roman" w:hAnsi="Times New Roman" w:cs="Times New Roman"/>
          <w:sz w:val="24"/>
        </w:rPr>
        <w:t xml:space="preserve">B2M levels at diagnosis were significantly higher in patients who expired than patients who achieved remission (p=0.034). B2M levels were significantly correlated with known prognostic </w:t>
      </w:r>
      <w:proofErr w:type="spellStart"/>
      <w:r>
        <w:rPr>
          <w:rFonts w:ascii="Times New Roman" w:hAnsi="Times New Roman" w:cs="Times New Roman"/>
          <w:sz w:val="24"/>
        </w:rPr>
        <w:t>factors</w:t>
      </w:r>
      <w:proofErr w:type="gramStart"/>
      <w:r>
        <w:rPr>
          <w:rFonts w:ascii="Times New Roman" w:hAnsi="Times New Roman" w:cs="Times New Roman"/>
          <w:sz w:val="24"/>
        </w:rPr>
        <w:t>;total</w:t>
      </w:r>
      <w:proofErr w:type="spellEnd"/>
      <w:proofErr w:type="gramEnd"/>
      <w:r>
        <w:rPr>
          <w:rFonts w:ascii="Times New Roman" w:hAnsi="Times New Roman" w:cs="Times New Roman"/>
          <w:sz w:val="24"/>
        </w:rPr>
        <w:t xml:space="preserve"> </w:t>
      </w:r>
      <w:proofErr w:type="spellStart"/>
      <w:r>
        <w:rPr>
          <w:rFonts w:ascii="Times New Roman" w:hAnsi="Times New Roman" w:cs="Times New Roman"/>
          <w:sz w:val="24"/>
        </w:rPr>
        <w:t>leucocyte</w:t>
      </w:r>
      <w:proofErr w:type="spellEnd"/>
      <w:r>
        <w:rPr>
          <w:rFonts w:ascii="Times New Roman" w:hAnsi="Times New Roman" w:cs="Times New Roman"/>
          <w:sz w:val="24"/>
        </w:rPr>
        <w:t xml:space="preserve"> count and blast count in peripheral blood(p=0.001 &amp; 0.001).TNF and B2M levels decreased significantly after chemotherapy only in remission group (p=0.015).</w:t>
      </w:r>
    </w:p>
    <w:p w:rsidR="006D1B07" w:rsidRDefault="006D1B07" w:rsidP="006D1B07">
      <w:pPr>
        <w:jc w:val="both"/>
        <w:rPr>
          <w:rFonts w:ascii="Times New Roman" w:hAnsi="Times New Roman" w:cs="Times New Roman"/>
          <w:sz w:val="24"/>
          <w:szCs w:val="24"/>
        </w:rPr>
      </w:pPr>
      <w:r>
        <w:rPr>
          <w:rFonts w:ascii="Times New Roman" w:hAnsi="Times New Roman" w:cs="Times New Roman"/>
          <w:b/>
          <w:bCs/>
          <w:sz w:val="24"/>
          <w:szCs w:val="24"/>
        </w:rPr>
        <w:t>Conclusions</w:t>
      </w:r>
      <w:r>
        <w:rPr>
          <w:rFonts w:ascii="Times New Roman" w:hAnsi="Times New Roman" w:cs="Times New Roman"/>
          <w:sz w:val="24"/>
          <w:szCs w:val="24"/>
        </w:rPr>
        <w:t>: Serum TNF and B2M levels have prognostic value in AML patients. Studies are required in larger number of patients.</w:t>
      </w:r>
    </w:p>
    <w:p w:rsidR="00F51546" w:rsidRDefault="00F51546"/>
    <w:sectPr w:rsidR="00F51546" w:rsidSect="00F5154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compat/>
  <w:rsids>
    <w:rsidRoot w:val="006D1B07"/>
    <w:rsid w:val="006D1B07"/>
    <w:rsid w:val="00E95CD9"/>
    <w:rsid w:val="00EE4A98"/>
    <w:rsid w:val="00F5154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1B07"/>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45352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295</Words>
  <Characters>1687</Characters>
  <Application>Microsoft Office Word</Application>
  <DocSecurity>0</DocSecurity>
  <Lines>14</Lines>
  <Paragraphs>3</Paragraphs>
  <ScaleCrop>false</ScaleCrop>
  <Company/>
  <LinksUpToDate>false</LinksUpToDate>
  <CharactersWithSpaces>1979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3</cp:revision>
  <dcterms:created xsi:type="dcterms:W3CDTF">2017-12-29T18:42:00Z</dcterms:created>
  <dcterms:modified xsi:type="dcterms:W3CDTF">2017-12-29T18:53:00Z</dcterms:modified>
</cp:coreProperties>
</file>