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Minion Pro" w:hAnsi="Minion Pro" w:cs="Minion Pro" w:eastAsia="Minion Pro"/>
          <w:b/>
          <w:color w:val="337AB7"/>
          <w:spacing w:val="0"/>
          <w:position w:val="0"/>
          <w:sz w:val="36"/>
          <w:shd w:fill="auto" w:val="clear"/>
        </w:rPr>
      </w:pPr>
      <w:r>
        <w:rPr>
          <w:rFonts w:ascii="Minion Pro" w:hAnsi="Minion Pro" w:cs="Minion Pro" w:eastAsia="Minion Pro"/>
          <w:b/>
          <w:color w:val="337AB7"/>
          <w:spacing w:val="0"/>
          <w:position w:val="0"/>
          <w:sz w:val="36"/>
          <w:shd w:fill="auto" w:val="clear"/>
        </w:rPr>
        <w:t xml:space="preserve">Title: An Unexpected Case of B-cell chronic lymphocytic leukemia (CLL) and Aggressive Metastatic Colonic Adenocarcinoma</w:t>
      </w:r>
    </w:p>
    <w:p>
      <w:pPr>
        <w:spacing w:before="0" w:after="0" w:line="240"/>
        <w:ind w:right="0" w:left="0" w:firstLine="0"/>
        <w:jc w:val="left"/>
        <w:rPr>
          <w:rFonts w:ascii="Minion Pro" w:hAnsi="Minion Pro" w:cs="Minion Pro" w:eastAsia="Minion Pro"/>
          <w:b/>
          <w:color w:val="337AB7"/>
          <w:spacing w:val="0"/>
          <w:position w:val="0"/>
          <w:sz w:val="36"/>
          <w:shd w:fill="auto" w:val="clear"/>
        </w:rPr>
      </w:pPr>
    </w:p>
    <w:p>
      <w:pPr>
        <w:spacing w:before="0" w:after="0" w:line="240"/>
        <w:ind w:right="0" w:left="0" w:firstLine="0"/>
        <w:jc w:val="left"/>
        <w:rPr>
          <w:rFonts w:ascii="Tw Cen MT" w:hAnsi="Tw Cen MT" w:cs="Tw Cen MT" w:eastAsia="Tw Cen MT"/>
          <w:color w:val="000000"/>
          <w:spacing w:val="0"/>
          <w:position w:val="0"/>
          <w:sz w:val="22"/>
          <w:shd w:fill="auto" w:val="clear"/>
        </w:rPr>
      </w:pPr>
      <w:r>
        <w:rPr>
          <w:rFonts w:ascii="Tw Cen MT" w:hAnsi="Tw Cen MT" w:cs="Tw Cen MT" w:eastAsia="Tw Cen MT"/>
          <w:color w:val="000000"/>
          <w:spacing w:val="0"/>
          <w:position w:val="0"/>
          <w:sz w:val="22"/>
          <w:shd w:fill="auto" w:val="clear"/>
        </w:rPr>
        <w:t xml:space="preserve">Name: Vincenzo Russo, Antonia Valoti, Marco Buonocore, Stefania Cartella, Marco Gobbi</w:t>
      </w:r>
    </w:p>
    <w:p>
      <w:pPr>
        <w:spacing w:before="0" w:after="0" w:line="240"/>
        <w:ind w:right="0" w:left="0" w:firstLine="0"/>
        <w:jc w:val="both"/>
        <w:rPr>
          <w:rFonts w:ascii="Tw Cen MT" w:hAnsi="Tw Cen MT" w:cs="Tw Cen MT" w:eastAsia="Tw Cen MT"/>
          <w:color w:val="000000"/>
          <w:spacing w:val="0"/>
          <w:position w:val="0"/>
          <w:sz w:val="22"/>
          <w:shd w:fill="auto" w:val="clear"/>
        </w:rPr>
      </w:pPr>
      <w:r>
        <w:rPr>
          <w:rFonts w:ascii="Tw Cen MT" w:hAnsi="Tw Cen MT" w:cs="Tw Cen MT" w:eastAsia="Tw Cen MT"/>
          <w:color w:val="000000"/>
          <w:spacing w:val="0"/>
          <w:position w:val="0"/>
          <w:sz w:val="22"/>
          <w:shd w:fill="auto" w:val="clear"/>
        </w:rPr>
        <w:t xml:space="preserve">Department of Haematology, University- Hospital San Martino, Genova, Italy</w:t>
      </w:r>
    </w:p>
    <w:p>
      <w:pPr>
        <w:spacing w:before="0" w:after="0" w:line="240"/>
        <w:ind w:right="0" w:left="0" w:firstLine="0"/>
        <w:jc w:val="both"/>
        <w:rPr>
          <w:rFonts w:ascii="Tw Cen MT" w:hAnsi="Tw Cen MT" w:cs="Tw Cen MT" w:eastAsia="Tw Cen MT"/>
          <w:color w:val="000000"/>
          <w:spacing w:val="0"/>
          <w:position w:val="0"/>
          <w:sz w:val="22"/>
          <w:shd w:fill="auto" w:val="clear"/>
        </w:rPr>
      </w:pPr>
      <w:r>
        <w:rPr>
          <w:rFonts w:ascii="Tw Cen MT" w:hAnsi="Tw Cen MT" w:cs="Tw Cen MT" w:eastAsia="Tw Cen MT"/>
          <w:color w:val="000000"/>
          <w:spacing w:val="0"/>
          <w:position w:val="0"/>
          <w:sz w:val="22"/>
          <w:shd w:fill="auto" w:val="clear"/>
        </w:rPr>
        <w:t xml:space="preserve">Department of Internal Medicine, ASST Bergamo Est, Calcinate Hospital, Calcinate (BG), Italy</w:t>
      </w:r>
    </w:p>
    <w:p>
      <w:pPr>
        <w:spacing w:before="0" w:after="0" w:line="240"/>
        <w:ind w:right="0" w:left="0" w:firstLine="0"/>
        <w:jc w:val="left"/>
        <w:rPr>
          <w:rFonts w:ascii="Arial" w:hAnsi="Arial" w:cs="Arial" w:eastAsia="Arial"/>
          <w:color w:val="auto"/>
          <w:spacing w:val="0"/>
          <w:position w:val="0"/>
          <w:sz w:val="21"/>
          <w:shd w:fill="auto" w:val="clear"/>
        </w:rPr>
      </w:pPr>
    </w:p>
    <w:p>
      <w:pPr>
        <w:spacing w:before="147" w:after="0" w:line="240"/>
        <w:ind w:right="0" w:left="100" w:firstLine="0"/>
        <w:jc w:val="both"/>
        <w:rPr>
          <w:rFonts w:ascii="Arial" w:hAnsi="Arial" w:cs="Arial" w:eastAsia="Arial"/>
          <w:b/>
          <w:color w:val="auto"/>
          <w:spacing w:val="0"/>
          <w:position w:val="0"/>
          <w:sz w:val="20"/>
          <w:shd w:fill="auto" w:val="clear"/>
        </w:rPr>
      </w:pPr>
      <w:r>
        <w:rPr>
          <w:rFonts w:ascii="Arial" w:hAnsi="Arial" w:cs="Arial" w:eastAsia="Arial"/>
          <w:b/>
          <w:color w:val="BF5A14"/>
          <w:spacing w:val="0"/>
          <w:position w:val="0"/>
          <w:sz w:val="20"/>
          <w:shd w:fill="auto" w:val="clear"/>
        </w:rPr>
        <w:t xml:space="preserve">Abstract </w:t>
      </w:r>
    </w:p>
    <w:p>
      <w:pPr>
        <w:spacing w:before="90" w:after="0" w:line="280"/>
        <w:ind w:right="0" w:left="0" w:firstLine="0"/>
        <w:jc w:val="both"/>
        <w:rPr>
          <w:rFonts w:ascii="Tw Cen MT" w:hAnsi="Tw Cen MT" w:cs="Tw Cen MT" w:eastAsia="Tw Cen MT"/>
          <w:color w:val="auto"/>
          <w:spacing w:val="0"/>
          <w:position w:val="0"/>
          <w:sz w:val="18"/>
          <w:shd w:fill="auto" w:val="clear"/>
        </w:rPr>
      </w:pPr>
      <w:r>
        <w:rPr>
          <w:rFonts w:ascii="Tw Cen MT" w:hAnsi="Tw Cen MT" w:cs="Tw Cen MT" w:eastAsia="Tw Cen MT"/>
          <w:color w:val="auto"/>
          <w:spacing w:val="0"/>
          <w:position w:val="0"/>
          <w:sz w:val="18"/>
          <w:shd w:fill="auto" w:val="clear"/>
        </w:rPr>
        <w:t xml:space="preserve">Statement of the Problem: Metastatic disease of the gastrointestinal (GI) tract is a rare complication of chronic lymphocytic leukemia (CLL), it may be result from richter's transformation or metastatic from non lymphoid malignancies. CLL is the most common form of adult leukemia, with the median age of 70 years at diagnosis.  Some people with CLL develop large tumors in the abdomen or colon. Concomitant gastrointestinal (GI) CLL and colon adenocarcinoma are rare clinical conditions. Initial presentation of GI CLL can be given by abdominal pain and hematochezia. We present a GI CLL with concomitant colon adenocarcinoma at diagnosis.</w:t>
      </w:r>
    </w:p>
    <w:p>
      <w:pPr>
        <w:spacing w:before="90" w:after="0" w:line="280"/>
        <w:ind w:right="0" w:left="0" w:firstLine="0"/>
        <w:jc w:val="both"/>
        <w:rPr>
          <w:rFonts w:ascii="Tw Cen MT" w:hAnsi="Tw Cen MT" w:cs="Tw Cen MT" w:eastAsia="Tw Cen MT"/>
          <w:color w:val="auto"/>
          <w:spacing w:val="0"/>
          <w:position w:val="0"/>
          <w:sz w:val="18"/>
          <w:shd w:fill="auto" w:val="clear"/>
        </w:rPr>
      </w:pPr>
      <w:r>
        <w:rPr>
          <w:rFonts w:ascii="Tw Cen MT" w:hAnsi="Tw Cen MT" w:cs="Tw Cen MT" w:eastAsia="Tw Cen MT"/>
          <w:color w:val="auto"/>
          <w:spacing w:val="0"/>
          <w:position w:val="0"/>
          <w:sz w:val="18"/>
          <w:shd w:fill="auto" w:val="clear"/>
        </w:rPr>
        <w:t xml:space="preserve"> Methodology &amp; Theoretical Orientation:  A 68-year-old man presented to the Calcinate Hospital in December 2017 with abdominal pain and hematochezia. Past history included hypertension and diabetes.   On physical examination, the patient was observed to have  enlarged axillary, submandibular, pectoral and supraclavicular lymph nodes, hepatosplenomegaly.  A CT scan showed increased contrast enhancement  in colon, duodenum and  nodal involvement, suggesting lesions suspicious for lymphoma or colon adenocarcinoma.  Colonoscopy revealed pancolonic multiple erythematous polypoid lesions.  Single 3 cm friable ulcerated cecal lesion suspicious for Lymphoma/CLL.  Biopsy showed poorly differentiated adenocarcinoma.  Bone marrow aspirate showed increased number of B lymphocytes 75%, with dysplastic features.  Immunophenotype was CD5+, CD19+, CD23+, CD20+. Histology of colon lesions and abdominal lymphonodes prompted the diagnosis of GI CLL with concomitant colon adnocarcinoma.</w:t>
      </w:r>
    </w:p>
    <w:p>
      <w:pPr>
        <w:spacing w:before="90" w:after="0" w:line="280"/>
        <w:ind w:right="0" w:left="0" w:firstLine="0"/>
        <w:jc w:val="both"/>
        <w:rPr>
          <w:rFonts w:ascii="Tw Cen MT" w:hAnsi="Tw Cen MT" w:cs="Tw Cen MT" w:eastAsia="Tw Cen MT"/>
          <w:color w:val="auto"/>
          <w:spacing w:val="0"/>
          <w:position w:val="0"/>
          <w:sz w:val="18"/>
          <w:shd w:fill="auto" w:val="clear"/>
        </w:rPr>
      </w:pPr>
      <w:r>
        <w:rPr>
          <w:rFonts w:ascii="Tw Cen MT" w:hAnsi="Tw Cen MT" w:cs="Tw Cen MT" w:eastAsia="Tw Cen MT"/>
          <w:color w:val="auto"/>
          <w:spacing w:val="0"/>
          <w:position w:val="0"/>
          <w:sz w:val="18"/>
          <w:shd w:fill="auto" w:val="clear"/>
        </w:rPr>
        <w:t xml:space="preserve">Concomitant GI CLL and colon adenocarcinoma was confirmed with histopathological and immunohistochemical studies. Right hemicolectomy revealed T4N2M0 adenocarcinoma with recurrence of B-cell lymphocytes  in VII and VIII hepatic segment, in lomboaortic lymph nodes . Multiple new hepatic lesions were confirmed as colon cancer metastases. </w:t>
      </w:r>
    </w:p>
    <w:p>
      <w:pPr>
        <w:spacing w:before="90" w:after="0" w:line="280"/>
        <w:ind w:right="0" w:left="0" w:firstLine="0"/>
        <w:jc w:val="both"/>
        <w:rPr>
          <w:rFonts w:ascii="Tw Cen MT" w:hAnsi="Tw Cen MT" w:cs="Tw Cen MT" w:eastAsia="Tw Cen MT"/>
          <w:color w:val="auto"/>
          <w:spacing w:val="0"/>
          <w:position w:val="0"/>
          <w:sz w:val="18"/>
          <w:shd w:fill="auto" w:val="clear"/>
        </w:rPr>
      </w:pPr>
      <w:r>
        <w:rPr>
          <w:rFonts w:ascii="Tw Cen MT" w:hAnsi="Tw Cen MT" w:cs="Tw Cen MT" w:eastAsia="Tw Cen MT"/>
          <w:color w:val="auto"/>
          <w:spacing w:val="0"/>
          <w:position w:val="0"/>
          <w:sz w:val="18"/>
          <w:shd w:fill="auto" w:val="clear"/>
        </w:rPr>
        <w:t xml:space="preserve">Conclusion &amp; Significance: Concomitant GI tract metachronous CLL and adenocarcinoma are rare. In our opinion, a multidisciplinary collaboration between haematologist, radiologist and cytologist is essential in order to obtain the diagnosis and rapidly to start treatment.</w:t>
      </w:r>
    </w:p>
    <w:p>
      <w:pPr>
        <w:spacing w:before="74" w:after="0" w:line="240"/>
        <w:ind w:right="0" w:left="100" w:firstLine="0"/>
        <w:jc w:val="left"/>
        <w:rPr>
          <w:rFonts w:ascii="Arial" w:hAnsi="Arial" w:cs="Arial" w:eastAsia="Arial"/>
          <w:b/>
          <w:color w:val="BF5A14"/>
          <w:spacing w:val="0"/>
          <w:position w:val="0"/>
          <w:sz w:val="20"/>
          <w:shd w:fill="auto" w:val="clear"/>
        </w:rPr>
      </w:pPr>
    </w:p>
    <w:p>
      <w:pPr>
        <w:spacing w:before="74" w:after="0" w:line="240"/>
        <w:ind w:right="0" w:left="100" w:firstLine="0"/>
        <w:jc w:val="left"/>
        <w:rPr>
          <w:rFonts w:ascii="Calibri" w:hAnsi="Calibri" w:cs="Calibri" w:eastAsia="Calibri"/>
          <w:color w:val="auto"/>
          <w:spacing w:val="0"/>
          <w:position w:val="0"/>
          <w:sz w:val="22"/>
          <w:shd w:fill="auto" w:val="clear"/>
        </w:rPr>
      </w:pPr>
      <w:r>
        <w:rPr>
          <w:rFonts w:ascii="Arial" w:hAnsi="Arial" w:cs="Arial" w:eastAsia="Arial"/>
          <w:b/>
          <w:color w:val="BF5A14"/>
          <w:spacing w:val="0"/>
          <w:position w:val="0"/>
          <w:sz w:val="20"/>
          <w:shd w:fill="auto" w:val="clear"/>
        </w:rPr>
        <w:t xml:space="preserve">Image</w:t>
      </w:r>
    </w:p>
    <w:p>
      <w:pPr>
        <w:spacing w:before="2" w:after="0" w:line="240"/>
        <w:ind w:right="0" w:left="0" w:firstLine="0"/>
        <w:jc w:val="left"/>
        <w:rPr>
          <w:rFonts w:ascii="Calibri" w:hAnsi="Calibri" w:cs="Calibri" w:eastAsia="Calibri"/>
          <w:color w:val="auto"/>
          <w:spacing w:val="0"/>
          <w:position w:val="0"/>
          <w:sz w:val="22"/>
          <w:shd w:fill="auto" w:val="clear"/>
        </w:rPr>
      </w:pPr>
    </w:p>
    <w:p>
      <w:pPr>
        <w:spacing w:before="2" w:after="0" w:line="240"/>
        <w:ind w:right="0" w:left="0" w:firstLine="0"/>
        <w:jc w:val="left"/>
        <w:rPr>
          <w:rFonts w:ascii="Calibri" w:hAnsi="Calibri" w:cs="Calibri" w:eastAsia="Calibri"/>
          <w:color w:val="auto"/>
          <w:spacing w:val="0"/>
          <w:position w:val="0"/>
          <w:sz w:val="22"/>
          <w:shd w:fill="auto" w:val="clear"/>
        </w:rPr>
      </w:pPr>
      <w:r>
        <w:object w:dxaOrig="3219" w:dyaOrig="2773">
          <v:rect xmlns:o="urn:schemas-microsoft-com:office:office" xmlns:v="urn:schemas-microsoft-com:vml" id="rectole0000000000" style="width:160.950000pt;height:138.6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2" w:after="0" w:line="240"/>
        <w:ind w:right="0" w:left="0" w:firstLine="0"/>
        <w:jc w:val="left"/>
        <w:rPr>
          <w:rFonts w:ascii="Calibri" w:hAnsi="Calibri" w:cs="Calibri" w:eastAsia="Calibri"/>
          <w:color w:val="auto"/>
          <w:spacing w:val="0"/>
          <w:position w:val="0"/>
          <w:sz w:val="22"/>
          <w:shd w:fill="auto" w:val="clear"/>
        </w:rPr>
      </w:pPr>
      <w:r>
        <w:rPr>
          <w:rFonts w:ascii="Tw Cen MT" w:hAnsi="Tw Cen MT" w:cs="Tw Cen MT" w:eastAsia="Tw Cen MT"/>
          <w:color w:val="auto"/>
          <w:spacing w:val="0"/>
          <w:position w:val="0"/>
          <w:sz w:val="18"/>
          <w:shd w:fill="auto" w:val="clear"/>
        </w:rPr>
        <w:t xml:space="preserve">Fig 1.  GI CLL lesion in the sigmoid region.</w:t>
      </w:r>
    </w:p>
    <w:p>
      <w:pPr>
        <w:spacing w:before="2" w:after="0" w:line="240"/>
        <w:ind w:right="0" w:left="0" w:firstLine="0"/>
        <w:jc w:val="left"/>
        <w:rPr>
          <w:rFonts w:ascii="Arial" w:hAnsi="Arial" w:cs="Arial" w:eastAsia="Arial"/>
          <w:b/>
          <w:color w:val="auto"/>
          <w:spacing w:val="0"/>
          <w:position w:val="0"/>
          <w:sz w:val="16"/>
          <w:shd w:fill="auto" w:val="clear"/>
        </w:rPr>
      </w:pPr>
    </w:p>
    <w:p>
      <w:pPr>
        <w:spacing w:before="0" w:after="0" w:line="240"/>
        <w:ind w:right="0" w:left="0" w:firstLine="0"/>
        <w:jc w:val="left"/>
        <w:rPr>
          <w:rFonts w:ascii="Arial" w:hAnsi="Arial" w:cs="Arial" w:eastAsia="Arial"/>
          <w:b/>
          <w:color w:val="BF5A14"/>
          <w:spacing w:val="0"/>
          <w:position w:val="0"/>
          <w:sz w:val="20"/>
          <w:shd w:fill="auto" w:val="clear"/>
        </w:rPr>
      </w:pPr>
      <w:r>
        <w:rPr>
          <w:rFonts w:ascii="Arial" w:hAnsi="Arial" w:cs="Arial" w:eastAsia="Arial"/>
          <w:b/>
          <w:color w:val="BF5A14"/>
          <w:spacing w:val="0"/>
          <w:position w:val="0"/>
          <w:sz w:val="20"/>
          <w:shd w:fill="auto" w:val="clear"/>
        </w:rPr>
        <w:br/>
        <w:t xml:space="preserve">Recent Publications</w:t>
      </w:r>
    </w:p>
    <w:p>
      <w:pPr>
        <w:spacing w:before="0" w:after="0" w:line="240"/>
        <w:ind w:right="0" w:left="0" w:firstLine="0"/>
        <w:jc w:val="left"/>
        <w:rPr>
          <w:rFonts w:ascii="Arial" w:hAnsi="Arial" w:cs="Arial" w:eastAsia="Arial"/>
          <w:b/>
          <w:color w:val="BF5A14"/>
          <w:spacing w:val="0"/>
          <w:position w:val="0"/>
          <w:sz w:val="20"/>
          <w:shd w:fill="auto" w:val="clear"/>
        </w:rPr>
      </w:pPr>
    </w:p>
    <w:p>
      <w:pPr>
        <w:spacing w:before="0" w:after="0" w:line="240"/>
        <w:ind w:right="0" w:left="0" w:firstLine="0"/>
        <w:jc w:val="left"/>
        <w:rPr>
          <w:rFonts w:ascii="Calibri" w:hAnsi="Calibri" w:cs="Calibri" w:eastAsia="Calibri"/>
          <w:b/>
          <w:color w:val="auto"/>
          <w:spacing w:val="0"/>
          <w:position w:val="0"/>
          <w:sz w:val="18"/>
          <w:shd w:fill="auto" w:val="clear"/>
        </w:rPr>
      </w:pPr>
      <w:r>
        <w:rPr>
          <w:rFonts w:ascii="Calibri" w:hAnsi="Calibri" w:cs="Calibri" w:eastAsia="Calibri"/>
          <w:color w:val="auto"/>
          <w:spacing w:val="0"/>
          <w:position w:val="0"/>
          <w:sz w:val="20"/>
          <w:shd w:fill="auto" w:val="clear"/>
        </w:rPr>
        <w:t xml:space="preserve">1.</w:t>
      </w:r>
      <w:r>
        <w:rPr>
          <w:rFonts w:ascii="Arial" w:hAnsi="Arial" w:cs="Arial" w:eastAsia="Arial"/>
          <w:b/>
          <w:color w:val="auto"/>
          <w:spacing w:val="0"/>
          <w:position w:val="0"/>
          <w:sz w:val="20"/>
          <w:shd w:fill="auto" w:val="clear"/>
        </w:rPr>
        <w:t xml:space="preserve"> </w:t>
      </w:r>
      <w:r>
        <w:rPr>
          <w:rFonts w:ascii="Calibri" w:hAnsi="Calibri" w:cs="Calibri" w:eastAsia="Calibri"/>
          <w:b/>
          <w:color w:val="auto"/>
          <w:spacing w:val="0"/>
          <w:position w:val="0"/>
          <w:sz w:val="18"/>
          <w:shd w:fill="auto" w:val="clear"/>
        </w:rPr>
        <w:t xml:space="preserve">V. Russo </w:t>
      </w:r>
      <w:r>
        <w:rPr>
          <w:rFonts w:ascii="Calibri" w:hAnsi="Calibri" w:cs="Calibri" w:eastAsia="Calibri"/>
          <w:color w:val="auto"/>
          <w:spacing w:val="0"/>
          <w:position w:val="0"/>
          <w:sz w:val="18"/>
          <w:shd w:fill="auto" w:val="clear"/>
        </w:rPr>
        <w:t xml:space="preserve">, M. Gobbi , A. Mercieri. ACUTE PULMONARY EMBOLISM AND SEPSIS CAUSED BY A DOUBLE GRAM-NEGATIVE INFECTION IN CHRONIC LYMPHOCYTIC LEUKEMIA: A CASE REPORT. </w:t>
      </w:r>
      <w:r>
        <w:rPr>
          <w:rFonts w:ascii="Calibri" w:hAnsi="Calibri" w:cs="Calibri" w:eastAsia="Calibri"/>
          <w:b/>
          <w:color w:val="auto"/>
          <w:spacing w:val="0"/>
          <w:position w:val="0"/>
          <w:sz w:val="18"/>
          <w:shd w:fill="auto" w:val="clear"/>
        </w:rPr>
        <w:t xml:space="preserve">S54 biochimica clinica, 2017,  vol. 41 SS2</w:t>
      </w:r>
    </w:p>
    <w:p>
      <w:pPr>
        <w:spacing w:before="0" w:after="0" w:line="240"/>
        <w:ind w:right="0" w:left="0" w:firstLine="0"/>
        <w:jc w:val="left"/>
        <w:rPr>
          <w:rFonts w:ascii="Calibri" w:hAnsi="Calibri" w:cs="Calibri" w:eastAsia="Calibri"/>
          <w:b/>
          <w:color w:val="auto"/>
          <w:spacing w:val="0"/>
          <w:position w:val="0"/>
          <w:sz w:val="18"/>
          <w:shd w:fill="auto" w:val="clear"/>
        </w:rPr>
      </w:pPr>
    </w:p>
    <w:p>
      <w:pPr>
        <w:spacing w:before="0" w:after="0" w:line="240"/>
        <w:ind w:right="0" w:left="0" w:firstLine="0"/>
        <w:jc w:val="left"/>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2.</w:t>
      </w:r>
      <w:r>
        <w:rPr>
          <w:rFonts w:ascii="Calibri" w:hAnsi="Calibri" w:cs="Calibri" w:eastAsia="Calibri"/>
          <w:b/>
          <w:color w:val="auto"/>
          <w:spacing w:val="0"/>
          <w:position w:val="0"/>
          <w:sz w:val="18"/>
          <w:shd w:fill="auto" w:val="clear"/>
        </w:rPr>
        <w:t xml:space="preserve">  V. Russo </w:t>
      </w:r>
      <w:r>
        <w:rPr>
          <w:rFonts w:ascii="Calibri" w:hAnsi="Calibri" w:cs="Calibri" w:eastAsia="Calibri"/>
          <w:color w:val="auto"/>
          <w:spacing w:val="0"/>
          <w:position w:val="0"/>
          <w:sz w:val="18"/>
          <w:shd w:fill="auto" w:val="clear"/>
        </w:rPr>
        <w:t xml:space="preserve">et al. </w:t>
      </w:r>
      <w:r>
        <w:rPr>
          <w:rFonts w:ascii="Calibri" w:hAnsi="Calibri" w:cs="Calibri" w:eastAsia="Calibri"/>
          <w:i/>
          <w:color w:val="auto"/>
          <w:spacing w:val="0"/>
          <w:position w:val="0"/>
          <w:sz w:val="18"/>
          <w:shd w:fill="auto" w:val="clear"/>
        </w:rPr>
        <w:t xml:space="preserve">ULTRASOUND IMAGING IN DIAGNOSIS OF SPLENIC FOLLICULAR LYMPHOMA</w:t>
      </w:r>
      <w:r>
        <w:rPr>
          <w:rFonts w:ascii="Calibri" w:hAnsi="Calibri" w:cs="Calibri" w:eastAsia="Calibri"/>
          <w:color w:val="auto"/>
          <w:spacing w:val="0"/>
          <w:position w:val="0"/>
          <w:sz w:val="18"/>
          <w:shd w:fill="auto" w:val="clear"/>
        </w:rPr>
        <w:t xml:space="preserve">. </w:t>
      </w:r>
      <w:r>
        <w:rPr>
          <w:rFonts w:ascii="Calibri" w:hAnsi="Calibri" w:cs="Calibri" w:eastAsia="Calibri"/>
          <w:b/>
          <w:color w:val="auto"/>
          <w:spacing w:val="0"/>
          <w:position w:val="0"/>
          <w:sz w:val="18"/>
          <w:shd w:fill="auto" w:val="clear"/>
        </w:rPr>
        <w:t xml:space="preserve">Blood Transf. 2017;15 Suppl 1;s166</w:t>
      </w:r>
    </w:p>
    <w:p>
      <w:pPr>
        <w:spacing w:before="0" w:after="0" w:line="240"/>
        <w:ind w:right="0" w:left="0" w:firstLine="0"/>
        <w:jc w:val="left"/>
        <w:rPr>
          <w:rFonts w:ascii="Calibri" w:hAnsi="Calibri" w:cs="Calibri" w:eastAsia="Calibri"/>
          <w:color w:val="auto"/>
          <w:spacing w:val="0"/>
          <w:position w:val="0"/>
          <w:sz w:val="18"/>
          <w:shd w:fill="auto" w:val="clear"/>
        </w:rPr>
      </w:pPr>
    </w:p>
    <w:p>
      <w:pPr>
        <w:spacing w:before="0" w:after="0" w:line="240"/>
        <w:ind w:right="0" w:left="0" w:firstLine="0"/>
        <w:jc w:val="left"/>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References</w:t>
      </w:r>
    </w:p>
    <w:p>
      <w:pPr>
        <w:spacing w:before="0" w:after="0" w:line="240"/>
        <w:ind w:right="0" w:left="0" w:firstLine="0"/>
        <w:jc w:val="left"/>
        <w:rPr>
          <w:rFonts w:ascii="Calibri" w:hAnsi="Calibri" w:cs="Calibri" w:eastAsia="Calibri"/>
          <w:color w:val="auto"/>
          <w:spacing w:val="0"/>
          <w:position w:val="0"/>
          <w:sz w:val="18"/>
          <w:shd w:fill="auto" w:val="clear"/>
        </w:rPr>
      </w:pP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4. Initial treatment of CLL: integrating biology and functional status.  Nitin Jain et al., Blood, 2015</w:t>
      </w:r>
    </w:p>
    <w:p>
      <w:pPr>
        <w:spacing w:before="0" w:after="0" w:line="240"/>
        <w:ind w:right="0" w:left="0" w:firstLine="0"/>
        <w:jc w:val="left"/>
        <w:rPr>
          <w:rFonts w:ascii="Calibri" w:hAnsi="Calibri" w:cs="Calibri" w:eastAsia="Calibri"/>
          <w:color w:val="000000"/>
          <w:spacing w:val="0"/>
          <w:position w:val="0"/>
          <w:sz w:val="16"/>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Calibri" w:hAnsi="Calibri" w:cs="Calibri" w:eastAsia="Calibri"/>
          <w:color w:val="auto"/>
          <w:spacing w:val="0"/>
          <w:position w:val="0"/>
          <w:sz w:val="20"/>
          <w:shd w:fill="auto" w:val="clear"/>
        </w:rPr>
        <w:t xml:space="preserve">5. Signaling the end of chronic lymphocytic leukemia: new frontline treatment strategies. Michael Hallek, Blood, 2013</w:t>
      </w:r>
    </w:p>
    <w:p>
      <w:pPr>
        <w:spacing w:before="85" w:after="0" w:line="240"/>
        <w:ind w:right="138" w:left="383" w:hanging="284"/>
        <w:jc w:val="both"/>
        <w:rPr>
          <w:rFonts w:ascii="Calibri" w:hAnsi="Calibri" w:cs="Calibri" w:eastAsia="Calibri"/>
          <w:color w:val="auto"/>
          <w:spacing w:val="0"/>
          <w:position w:val="0"/>
          <w:sz w:val="18"/>
          <w:shd w:fill="auto" w:val="clear"/>
        </w:rPr>
      </w:pPr>
    </w:p>
    <w:p>
      <w:pPr>
        <w:spacing w:before="0" w:after="0" w:line="240"/>
        <w:ind w:right="0" w:left="0" w:firstLine="0"/>
        <w:jc w:val="both"/>
        <w:rPr>
          <w:rFonts w:ascii="Calibri" w:hAnsi="Calibri" w:cs="Calibri" w:eastAsia="Calibri"/>
          <w:color w:val="auto"/>
          <w:spacing w:val="0"/>
          <w:position w:val="0"/>
          <w:sz w:val="4"/>
          <w:shd w:fill="auto" w:val="clear"/>
        </w:rPr>
      </w:pPr>
      <w:r>
        <w:rPr>
          <w:rFonts w:ascii="Calibri" w:hAnsi="Calibri" w:cs="Calibri" w:eastAsia="Calibri"/>
          <w:color w:val="auto"/>
          <w:spacing w:val="0"/>
          <w:position w:val="0"/>
          <w:sz w:val="22"/>
          <w:shd w:fill="auto" w:val="clear"/>
        </w:rPr>
        <w:t xml:space="preserve"> </w:t>
      </w:r>
    </w:p>
    <w:p>
      <w:pPr>
        <w:keepNext w:val="true"/>
        <w:spacing w:before="0" w:after="0" w:line="240"/>
        <w:ind w:right="0" w:left="0" w:firstLine="0"/>
        <w:jc w:val="left"/>
        <w:rPr>
          <w:rFonts w:ascii="Tw Cen MT" w:hAnsi="Tw Cen MT" w:cs="Tw Cen MT" w:eastAsia="Tw Cen MT"/>
          <w:color w:val="auto"/>
          <w:spacing w:val="0"/>
          <w:position w:val="0"/>
          <w:sz w:val="22"/>
          <w:shd w:fill="auto" w:val="clear"/>
        </w:rPr>
      </w:pPr>
      <w:r>
        <w:rPr>
          <w:rFonts w:ascii="Tw Cen MT" w:hAnsi="Tw Cen MT" w:cs="Tw Cen MT" w:eastAsia="Tw Cen MT"/>
          <w:color w:val="auto"/>
          <w:spacing w:val="0"/>
          <w:position w:val="0"/>
          <w:sz w:val="22"/>
          <w:shd w:fill="auto" w:val="clear"/>
        </w:rPr>
        <w:t xml:space="preserve">    </w:t>
      </w:r>
    </w:p>
    <w:p>
      <w:pPr>
        <w:keepNext w:val="true"/>
        <w:spacing w:before="0" w:after="0" w:line="240"/>
        <w:ind w:right="0" w:left="0" w:firstLine="0"/>
        <w:jc w:val="left"/>
        <w:rPr>
          <w:rFonts w:ascii="Tw Cen MT" w:hAnsi="Tw Cen MT" w:cs="Tw Cen MT" w:eastAsia="Tw Cen MT"/>
          <w:color w:val="auto"/>
          <w:spacing w:val="0"/>
          <w:position w:val="0"/>
          <w:sz w:val="22"/>
          <w:shd w:fill="auto" w:val="clear"/>
        </w:rPr>
      </w:pPr>
      <w:r>
        <w:object w:dxaOrig="2004" w:dyaOrig="1235">
          <v:rect xmlns:o="urn:schemas-microsoft-com:office:office" xmlns:v="urn:schemas-microsoft-com:vml" id="rectole0000000001" style="width:100.200000pt;height:61.7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keepNext w:val="true"/>
        <w:spacing w:before="0" w:after="0" w:line="240"/>
        <w:ind w:right="0" w:left="0" w:firstLine="0"/>
        <w:jc w:val="left"/>
        <w:rPr>
          <w:rFonts w:ascii="Tw Cen MT" w:hAnsi="Tw Cen MT" w:cs="Tw Cen MT" w:eastAsia="Tw Cen MT"/>
          <w:color w:val="auto"/>
          <w:spacing w:val="0"/>
          <w:position w:val="0"/>
          <w:sz w:val="22"/>
          <w:shd w:fill="auto" w:val="clear"/>
        </w:rPr>
      </w:pPr>
    </w:p>
    <w:p>
      <w:pPr>
        <w:spacing w:before="92" w:after="0" w:line="240"/>
        <w:ind w:right="4234" w:left="0" w:firstLine="0"/>
        <w:jc w:val="left"/>
        <w:rPr>
          <w:rFonts w:ascii="Arial" w:hAnsi="Arial" w:cs="Arial" w:eastAsia="Arial"/>
          <w:color w:val="BF5A14"/>
          <w:spacing w:val="0"/>
          <w:position w:val="0"/>
          <w:sz w:val="22"/>
          <w:shd w:fill="auto" w:val="clear"/>
        </w:rPr>
      </w:pPr>
      <w:r>
        <w:rPr>
          <w:rFonts w:ascii="Times New Roman" w:hAnsi="Times New Roman" w:cs="Times New Roman" w:eastAsia="Times New Roman"/>
          <w:color w:val="auto"/>
          <w:spacing w:val="0"/>
          <w:position w:val="0"/>
          <w:sz w:val="18"/>
          <w:shd w:fill="auto" w:val="clear"/>
        </w:rPr>
        <w:t xml:space="preserve"> </w:t>
      </w:r>
      <w:r>
        <w:rPr>
          <w:rFonts w:ascii="Arial" w:hAnsi="Arial" w:cs="Arial" w:eastAsia="Arial"/>
          <w:color w:val="BF5A14"/>
          <w:spacing w:val="0"/>
          <w:position w:val="0"/>
          <w:sz w:val="22"/>
          <w:shd w:fill="auto" w:val="clear"/>
        </w:rPr>
        <w:t xml:space="preserve">Biography </w:t>
      </w:r>
    </w:p>
    <w:p>
      <w:pPr>
        <w:spacing w:before="41" w:after="0" w:line="240"/>
        <w:ind w:right="231" w:left="0" w:firstLine="0"/>
        <w:jc w:val="both"/>
        <w:rPr>
          <w:rFonts w:ascii="Arial" w:hAnsi="Arial" w:cs="Arial" w:eastAsia="Arial"/>
          <w:color w:val="auto"/>
          <w:spacing w:val="0"/>
          <w:position w:val="0"/>
          <w:sz w:val="14"/>
          <w:shd w:fill="auto" w:val="clear"/>
        </w:rPr>
      </w:pPr>
    </w:p>
    <w:p>
      <w:pPr>
        <w:spacing w:before="41" w:after="0" w:line="240"/>
        <w:ind w:right="231" w:left="0" w:firstLine="0"/>
        <w:jc w:val="both"/>
        <w:rPr>
          <w:rFonts w:ascii="Arial" w:hAnsi="Arial" w:cs="Arial" w:eastAsia="Arial"/>
          <w:color w:val="auto"/>
          <w:spacing w:val="0"/>
          <w:position w:val="0"/>
          <w:sz w:val="14"/>
          <w:shd w:fill="auto" w:val="clear"/>
        </w:rPr>
      </w:pPr>
      <w:r>
        <w:rPr>
          <w:rFonts w:ascii="Arial" w:hAnsi="Arial" w:cs="Arial" w:eastAsia="Arial"/>
          <w:color w:val="auto"/>
          <w:spacing w:val="0"/>
          <w:position w:val="0"/>
          <w:sz w:val="14"/>
          <w:shd w:fill="auto" w:val="clear"/>
        </w:rPr>
        <w:t xml:space="preserve">Dr Vincenzo Russo has her expertise in  diagnosis, treatment and managment of haematological disorders.</w:t>
      </w:r>
    </w:p>
    <w:p>
      <w:pPr>
        <w:spacing w:before="0" w:after="0" w:line="240"/>
        <w:ind w:right="0" w:left="0" w:firstLine="0"/>
        <w:jc w:val="left"/>
        <w:rPr>
          <w:rFonts w:ascii="Arial" w:hAnsi="Arial" w:cs="Arial" w:eastAsia="Arial"/>
          <w:color w:val="000000"/>
          <w:spacing w:val="0"/>
          <w:position w:val="0"/>
          <w:sz w:val="14"/>
          <w:shd w:fill="auto" w:val="clear"/>
        </w:rPr>
      </w:pPr>
      <w:r>
        <w:rPr>
          <w:rFonts w:ascii="Arial" w:hAnsi="Arial" w:cs="Arial" w:eastAsia="Arial"/>
          <w:b/>
          <w:color w:val="000000"/>
          <w:spacing w:val="0"/>
          <w:position w:val="0"/>
          <w:sz w:val="14"/>
          <w:shd w:fill="auto" w:val="clear"/>
        </w:rPr>
        <w:t xml:space="preserve">Training:</w:t>
      </w:r>
    </w:p>
    <w:p>
      <w:pPr>
        <w:spacing w:before="0" w:after="0" w:line="240"/>
        <w:ind w:right="0" w:left="0" w:firstLine="0"/>
        <w:jc w:val="left"/>
        <w:rPr>
          <w:rFonts w:ascii="Arial" w:hAnsi="Arial" w:cs="Arial" w:eastAsia="Arial"/>
          <w:color w:val="000000"/>
          <w:spacing w:val="0"/>
          <w:position w:val="0"/>
          <w:sz w:val="14"/>
          <w:shd w:fill="auto" w:val="clear"/>
        </w:rPr>
      </w:pPr>
      <w:r>
        <w:rPr>
          <w:rFonts w:ascii="Arial" w:hAnsi="Arial" w:cs="Arial" w:eastAsia="Arial"/>
          <w:color w:val="000000"/>
          <w:spacing w:val="0"/>
          <w:position w:val="0"/>
          <w:sz w:val="14"/>
          <w:shd w:fill="auto" w:val="clear"/>
        </w:rPr>
        <w:t xml:space="preserve">- from 2012 until 05 Jul 2016: internship in Hematology Unit, University of Naples “Federico II”, Italy.</w:t>
      </w:r>
    </w:p>
    <w:p>
      <w:pPr>
        <w:spacing w:before="0" w:after="0" w:line="240"/>
        <w:ind w:right="0" w:left="0" w:firstLine="0"/>
        <w:jc w:val="left"/>
        <w:rPr>
          <w:rFonts w:ascii="Arial" w:hAnsi="Arial" w:cs="Arial" w:eastAsia="Arial"/>
          <w:color w:val="000000"/>
          <w:spacing w:val="0"/>
          <w:position w:val="0"/>
          <w:sz w:val="14"/>
          <w:shd w:fill="auto" w:val="clear"/>
        </w:rPr>
      </w:pPr>
      <w:r>
        <w:rPr>
          <w:rFonts w:ascii="Arial" w:hAnsi="Arial" w:cs="Arial" w:eastAsia="Arial"/>
          <w:color w:val="000000"/>
          <w:spacing w:val="0"/>
          <w:position w:val="0"/>
          <w:sz w:val="14"/>
          <w:shd w:fill="auto" w:val="clear"/>
        </w:rPr>
        <w:t xml:space="preserve">-Training in Chronic Lymphocytic leukaemia and Thrombocytopenia, outpatients’clinics ; in Pediatric acute myeloid leukaemia and Pediatric acute lymphocytic leukaemia outpatients’clinics ; in Multiple Myeloma and MGUS outpatients’clinics; in Amyloidosis and HES outpatients’clinics; in Acute myeloid leukaemia; in Lymphoma non Hodgkin outpatients’clinics; in Lymphoma Hodgkin outpatients’clinics and Acute myeloid leukaemia (Director: Prof F. Pane).</w:t>
      </w:r>
    </w:p>
    <w:p>
      <w:pPr>
        <w:spacing w:before="0" w:after="0" w:line="240"/>
        <w:ind w:right="0" w:left="0" w:firstLine="0"/>
        <w:jc w:val="left"/>
        <w:rPr>
          <w:rFonts w:ascii="Arial" w:hAnsi="Arial" w:cs="Arial" w:eastAsia="Arial"/>
          <w:color w:val="000000"/>
          <w:spacing w:val="0"/>
          <w:position w:val="0"/>
          <w:sz w:val="14"/>
          <w:shd w:fill="auto" w:val="clear"/>
        </w:rPr>
      </w:pPr>
      <w:r>
        <w:rPr>
          <w:rFonts w:ascii="Arial" w:hAnsi="Arial" w:cs="Arial" w:eastAsia="Arial"/>
          <w:color w:val="000000"/>
          <w:spacing w:val="0"/>
          <w:position w:val="0"/>
          <w:sz w:val="14"/>
          <w:shd w:fill="auto" w:val="clear"/>
        </w:rPr>
        <w:t xml:space="preserve">- from 05 Jul 2017 until Phd in Haematology, Department of Haematology, University- Hospital San Martino, Genova, Italy</w:t>
      </w:r>
    </w:p>
    <w:p>
      <w:pPr>
        <w:spacing w:before="0" w:after="0" w:line="240"/>
        <w:ind w:right="0" w:left="0" w:firstLine="0"/>
        <w:jc w:val="left"/>
        <w:rPr>
          <w:rFonts w:ascii="Arial" w:hAnsi="Arial" w:cs="Arial" w:eastAsia="Arial"/>
          <w:b/>
          <w:color w:val="000000"/>
          <w:spacing w:val="0"/>
          <w:position w:val="0"/>
          <w:sz w:val="14"/>
          <w:shd w:fill="auto" w:val="clear"/>
        </w:rPr>
      </w:pPr>
      <w:r>
        <w:rPr>
          <w:rFonts w:ascii="Arial" w:hAnsi="Arial" w:cs="Arial" w:eastAsia="Arial"/>
          <w:b/>
          <w:color w:val="000000"/>
          <w:spacing w:val="0"/>
          <w:position w:val="0"/>
          <w:sz w:val="14"/>
          <w:shd w:fill="auto" w:val="clear"/>
        </w:rPr>
        <w:t xml:space="preserve">Membership:</w:t>
      </w:r>
    </w:p>
    <w:p>
      <w:pPr>
        <w:spacing w:before="0" w:after="0" w:line="240"/>
        <w:ind w:right="0" w:left="0" w:firstLine="0"/>
        <w:jc w:val="left"/>
        <w:rPr>
          <w:rFonts w:ascii="Arial" w:hAnsi="Arial" w:cs="Arial" w:eastAsia="Arial"/>
          <w:color w:val="000000"/>
          <w:spacing w:val="0"/>
          <w:position w:val="0"/>
          <w:sz w:val="14"/>
          <w:shd w:fill="auto" w:val="clear"/>
        </w:rPr>
      </w:pPr>
      <w:r>
        <w:rPr>
          <w:rFonts w:ascii="Arial" w:hAnsi="Arial" w:cs="Arial" w:eastAsia="Arial"/>
          <w:color w:val="000000"/>
          <w:spacing w:val="0"/>
          <w:position w:val="0"/>
          <w:sz w:val="14"/>
          <w:shd w:fill="auto" w:val="clear"/>
        </w:rPr>
        <w:t xml:space="preserve">member of Italian Society of Medical Ultrasound (SIUMB) – from 2011</w:t>
      </w:r>
    </w:p>
    <w:p>
      <w:pPr>
        <w:spacing w:before="0" w:after="0" w:line="240"/>
        <w:ind w:right="0" w:left="0" w:firstLine="0"/>
        <w:jc w:val="left"/>
        <w:rPr>
          <w:rFonts w:ascii="Arial" w:hAnsi="Arial" w:cs="Arial" w:eastAsia="Arial"/>
          <w:color w:val="000000"/>
          <w:spacing w:val="0"/>
          <w:position w:val="0"/>
          <w:sz w:val="14"/>
          <w:shd w:fill="auto" w:val="clear"/>
        </w:rPr>
      </w:pPr>
      <w:r>
        <w:rPr>
          <w:rFonts w:ascii="Arial" w:hAnsi="Arial" w:cs="Arial" w:eastAsia="Arial"/>
          <w:color w:val="000000"/>
          <w:spacing w:val="0"/>
          <w:position w:val="0"/>
          <w:sz w:val="14"/>
          <w:shd w:fill="auto" w:val="clear"/>
        </w:rPr>
        <w:t xml:space="preserve">member of Italian Society of Hematology (SIE)- from 2012</w:t>
      </w:r>
    </w:p>
    <w:p>
      <w:pPr>
        <w:spacing w:before="0" w:after="0" w:line="240"/>
        <w:ind w:right="0" w:left="0" w:firstLine="0"/>
        <w:jc w:val="left"/>
        <w:rPr>
          <w:rFonts w:ascii="Arial" w:hAnsi="Arial" w:cs="Arial" w:eastAsia="Arial"/>
          <w:color w:val="auto"/>
          <w:spacing w:val="0"/>
          <w:position w:val="0"/>
          <w:sz w:val="14"/>
          <w:shd w:fill="auto" w:val="clear"/>
        </w:rPr>
      </w:pPr>
      <w:r>
        <w:rPr>
          <w:rFonts w:ascii="Arial" w:hAnsi="Arial" w:cs="Arial" w:eastAsia="Arial"/>
          <w:color w:val="000000"/>
          <w:spacing w:val="0"/>
          <w:position w:val="0"/>
          <w:sz w:val="14"/>
          <w:shd w:fill="auto" w:val="clear"/>
        </w:rPr>
        <w:t xml:space="preserve">member of Italian Society of Internal Medicine and Federation of Associations of Hospital Doctors on Internal medicine (FADOI) from 2014.</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Arial" w:hAnsi="Arial" w:cs="Arial" w:eastAsia="Arial"/>
          <w:color w:val="auto"/>
          <w:spacing w:val="0"/>
          <w:position w:val="0"/>
          <w:sz w:val="14"/>
          <w:shd w:fill="auto" w:val="clear"/>
        </w:rPr>
        <w:t xml:space="preserve">E-mail: vincenzo_russo_6@libero.it</w:t>
      </w:r>
    </w:p>
    <w:p>
      <w:pPr>
        <w:spacing w:before="0" w:after="0" w:line="240"/>
        <w:ind w:right="0" w:left="0" w:firstLine="0"/>
        <w:jc w:val="left"/>
        <w:rPr>
          <w:rFonts w:ascii="Arial" w:hAnsi="Arial" w:cs="Arial" w:eastAsia="Arial"/>
          <w:b/>
          <w:color w:val="000000"/>
          <w:spacing w:val="0"/>
          <w:position w:val="0"/>
          <w:sz w:val="14"/>
          <w:shd w:fill="auto" w:val="clear"/>
        </w:rPr>
      </w:pPr>
    </w:p>
    <w:p>
      <w:pPr>
        <w:spacing w:before="39" w:after="0" w:line="240"/>
        <w:ind w:right="0" w:left="0" w:firstLine="0"/>
        <w:jc w:val="left"/>
        <w:rPr>
          <w:rFonts w:ascii="Minion Pro" w:hAnsi="Minion Pro" w:cs="Minion Pro" w:eastAsia="Minion Pro"/>
          <w:b/>
          <w:color w:val="auto"/>
          <w:spacing w:val="0"/>
          <w:position w:val="0"/>
          <w:sz w:val="20"/>
          <w:shd w:fill="auto" w:val="clear"/>
        </w:rPr>
      </w:pPr>
      <w:r>
        <w:rPr>
          <w:rFonts w:ascii="Minion Pro" w:hAnsi="Minion Pro" w:cs="Minion Pro" w:eastAsia="Minion Pro"/>
          <w:b/>
          <w:color w:val="auto"/>
          <w:spacing w:val="0"/>
          <w:position w:val="0"/>
          <w:sz w:val="20"/>
          <w:shd w:fill="auto" w:val="clear"/>
        </w:rPr>
        <w:t xml:space="preserve">Notes/Comments:</w:t>
      </w:r>
    </w:p>
    <w:p>
      <w:pPr>
        <w:spacing w:before="0" w:after="0" w:line="240"/>
        <w:ind w:right="0" w:left="0" w:firstLine="0"/>
        <w:jc w:val="left"/>
        <w:rPr>
          <w:rFonts w:ascii="Minion Pro" w:hAnsi="Minion Pro" w:cs="Minion Pro" w:eastAsia="Minion Pro"/>
          <w:color w:val="auto"/>
          <w:spacing w:val="0"/>
          <w:position w:val="0"/>
          <w:sz w:val="24"/>
          <w:shd w:fill="auto" w:val="clear"/>
        </w:rPr>
      </w:pPr>
    </w:p>
    <w:p>
      <w:pPr>
        <w:spacing w:before="3" w:after="0" w:line="240"/>
        <w:ind w:right="0" w:left="0" w:firstLine="0"/>
        <w:jc w:val="left"/>
        <w:rPr>
          <w:rFonts w:ascii="Minion Pro" w:hAnsi="Minion Pro" w:cs="Minion Pro" w:eastAsia="Minion Pro"/>
          <w:color w:val="auto"/>
          <w:spacing w:val="0"/>
          <w:position w:val="0"/>
          <w:sz w:val="26"/>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edia/image0.wmf" Id="docRId1" Type="http://schemas.openxmlformats.org/officeDocument/2006/relationships/image"/><Relationship Target="media/image1.wmf" Id="docRId3" Type="http://schemas.openxmlformats.org/officeDocument/2006/relationships/image"/><Relationship Target="styles.xml" Id="docRId5" Type="http://schemas.openxmlformats.org/officeDocument/2006/relationships/styles"/><Relationship Target="embeddings/oleObject0.bin" Id="docRId0" Type="http://schemas.openxmlformats.org/officeDocument/2006/relationships/oleObject"/><Relationship Target="embeddings/oleObject1.bin" Id="docRId2" Type="http://schemas.openxmlformats.org/officeDocument/2006/relationships/oleObject"/><Relationship Target="numbering.xml" Id="docRId4" Type="http://schemas.openxmlformats.org/officeDocument/2006/relationships/numbering"/></Relationships>
</file>