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057" w:rsidRDefault="007E6057" w:rsidP="007E6057">
      <w:pPr>
        <w:pStyle w:val="Defaul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Management of refractory/relapsed acute leukemia patients with</w:t>
      </w:r>
      <w:r w:rsidRPr="00DB6D04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 xml:space="preserve">cardiac limitation by </w:t>
      </w:r>
      <w:proofErr w:type="spellStart"/>
      <w:r>
        <w:rPr>
          <w:b/>
          <w:bCs/>
          <w:sz w:val="48"/>
          <w:szCs w:val="48"/>
        </w:rPr>
        <w:t>Antracyclin</w:t>
      </w:r>
      <w:proofErr w:type="spellEnd"/>
      <w:r>
        <w:rPr>
          <w:b/>
          <w:bCs/>
          <w:sz w:val="48"/>
          <w:szCs w:val="48"/>
        </w:rPr>
        <w:t xml:space="preserve"> free chemotherapy regimens in </w:t>
      </w:r>
      <w:proofErr w:type="gramStart"/>
      <w:r>
        <w:rPr>
          <w:b/>
          <w:bCs/>
          <w:sz w:val="48"/>
          <w:szCs w:val="48"/>
        </w:rPr>
        <w:t>pediatric :</w:t>
      </w:r>
      <w:proofErr w:type="gramEnd"/>
    </w:p>
    <w:p w:rsidR="007E6057" w:rsidRPr="00C43780" w:rsidRDefault="007E6057" w:rsidP="007E6057">
      <w:pPr>
        <w:pStyle w:val="Default"/>
        <w:jc w:val="center"/>
        <w:rPr>
          <w:sz w:val="36"/>
          <w:szCs w:val="36"/>
        </w:rPr>
      </w:pPr>
      <w:proofErr w:type="gramStart"/>
      <w:r w:rsidRPr="00C43780">
        <w:rPr>
          <w:b/>
          <w:bCs/>
          <w:sz w:val="36"/>
          <w:szCs w:val="36"/>
        </w:rPr>
        <w:t>new</w:t>
      </w:r>
      <w:proofErr w:type="gramEnd"/>
      <w:r w:rsidRPr="00C43780">
        <w:rPr>
          <w:b/>
          <w:bCs/>
          <w:sz w:val="36"/>
          <w:szCs w:val="36"/>
        </w:rPr>
        <w:t xml:space="preserve"> hypothesis and new approach</w:t>
      </w:r>
    </w:p>
    <w:p w:rsidR="007E6057" w:rsidRDefault="007E6057" w:rsidP="007E6057">
      <w:pPr>
        <w:pStyle w:val="Default"/>
        <w:rPr>
          <w:sz w:val="23"/>
          <w:szCs w:val="23"/>
        </w:rPr>
      </w:pPr>
    </w:p>
    <w:p w:rsidR="007E6057" w:rsidRDefault="007E6057" w:rsidP="007E6057">
      <w:pPr>
        <w:pStyle w:val="Default"/>
        <w:rPr>
          <w:sz w:val="23"/>
          <w:szCs w:val="23"/>
        </w:rPr>
      </w:pPr>
    </w:p>
    <w:p w:rsidR="007E6057" w:rsidRPr="000456AC" w:rsidRDefault="007E6057" w:rsidP="007E6057">
      <w:pPr>
        <w:pStyle w:val="Default"/>
        <w:rPr>
          <w:sz w:val="32"/>
          <w:szCs w:val="32"/>
        </w:rPr>
      </w:pPr>
      <w:r w:rsidRPr="000456AC">
        <w:rPr>
          <w:sz w:val="32"/>
          <w:szCs w:val="32"/>
        </w:rPr>
        <w:t xml:space="preserve">Authors: </w:t>
      </w:r>
      <w:proofErr w:type="spellStart"/>
      <w:r w:rsidRPr="000456AC">
        <w:rPr>
          <w:sz w:val="32"/>
          <w:szCs w:val="32"/>
        </w:rPr>
        <w:t>Abdolkarimi</w:t>
      </w:r>
      <w:proofErr w:type="spellEnd"/>
      <w:r w:rsidRPr="000456AC">
        <w:rPr>
          <w:sz w:val="32"/>
          <w:szCs w:val="32"/>
        </w:rPr>
        <w:t xml:space="preserve"> Babak</w:t>
      </w:r>
      <w:r w:rsidRPr="000456AC">
        <w:rPr>
          <w:sz w:val="32"/>
          <w:szCs w:val="32"/>
          <w:vertAlign w:val="superscript"/>
        </w:rPr>
        <w:t>1</w:t>
      </w:r>
      <w:proofErr w:type="gramStart"/>
      <w:r w:rsidRPr="000456AC">
        <w:rPr>
          <w:sz w:val="32"/>
          <w:szCs w:val="32"/>
        </w:rPr>
        <w:t>,Soheila</w:t>
      </w:r>
      <w:proofErr w:type="gramEnd"/>
      <w:r w:rsidRPr="000456AC">
        <w:rPr>
          <w:sz w:val="32"/>
          <w:szCs w:val="32"/>
        </w:rPr>
        <w:t xml:space="preserve"> Zareifar</w:t>
      </w:r>
      <w:r w:rsidRPr="000456AC">
        <w:rPr>
          <w:sz w:val="32"/>
          <w:szCs w:val="32"/>
          <w:vertAlign w:val="superscript"/>
        </w:rPr>
        <w:t>2</w:t>
      </w:r>
      <w:r w:rsidRPr="000456AC">
        <w:rPr>
          <w:sz w:val="32"/>
          <w:szCs w:val="32"/>
        </w:rPr>
        <w:t>,Karimi Mehran</w:t>
      </w:r>
      <w:r w:rsidRPr="000456AC">
        <w:rPr>
          <w:sz w:val="32"/>
          <w:szCs w:val="32"/>
          <w:vertAlign w:val="superscript"/>
        </w:rPr>
        <w:t>3</w:t>
      </w:r>
      <w:r w:rsidRPr="000456AC">
        <w:rPr>
          <w:sz w:val="32"/>
          <w:szCs w:val="32"/>
        </w:rPr>
        <w:t xml:space="preserve">, </w:t>
      </w:r>
      <w:proofErr w:type="spellStart"/>
      <w:r w:rsidRPr="000456AC">
        <w:rPr>
          <w:sz w:val="32"/>
          <w:szCs w:val="32"/>
        </w:rPr>
        <w:t>Pouria</w:t>
      </w:r>
      <w:proofErr w:type="spellEnd"/>
      <w:r w:rsidRPr="000456AC">
        <w:rPr>
          <w:sz w:val="32"/>
          <w:szCs w:val="32"/>
        </w:rPr>
        <w:t xml:space="preserve"> Salajegheh</w:t>
      </w:r>
      <w:r w:rsidRPr="000456AC">
        <w:rPr>
          <w:sz w:val="32"/>
          <w:szCs w:val="32"/>
          <w:vertAlign w:val="superscript"/>
        </w:rPr>
        <w:t>4</w:t>
      </w:r>
      <w:r w:rsidRPr="000456AC">
        <w:rPr>
          <w:sz w:val="32"/>
          <w:szCs w:val="32"/>
        </w:rPr>
        <w:t>,</w:t>
      </w:r>
    </w:p>
    <w:p w:rsidR="007E6057" w:rsidRPr="000456AC" w:rsidRDefault="007E6057" w:rsidP="007E6057">
      <w:pPr>
        <w:pStyle w:val="Default"/>
        <w:rPr>
          <w:i/>
          <w:iCs/>
          <w:sz w:val="32"/>
          <w:szCs w:val="32"/>
        </w:rPr>
      </w:pPr>
      <w:proofErr w:type="spellStart"/>
      <w:r w:rsidRPr="000456AC">
        <w:rPr>
          <w:sz w:val="32"/>
          <w:szCs w:val="32"/>
        </w:rPr>
        <w:t>Correspondence</w:t>
      </w:r>
      <w:proofErr w:type="gramStart"/>
      <w:r w:rsidRPr="000456AC">
        <w:rPr>
          <w:sz w:val="32"/>
          <w:szCs w:val="32"/>
        </w:rPr>
        <w:t>:Soheila</w:t>
      </w:r>
      <w:proofErr w:type="spellEnd"/>
      <w:proofErr w:type="gramEnd"/>
      <w:r w:rsidRPr="000456AC">
        <w:rPr>
          <w:sz w:val="32"/>
          <w:szCs w:val="32"/>
        </w:rPr>
        <w:t xml:space="preserve"> </w:t>
      </w:r>
      <w:proofErr w:type="spellStart"/>
      <w:r w:rsidRPr="000456AC">
        <w:rPr>
          <w:sz w:val="32"/>
          <w:szCs w:val="32"/>
        </w:rPr>
        <w:t>Zareifar</w:t>
      </w:r>
      <w:proofErr w:type="spellEnd"/>
      <w:r w:rsidRPr="000456AC">
        <w:rPr>
          <w:sz w:val="32"/>
          <w:szCs w:val="32"/>
        </w:rPr>
        <w:t xml:space="preserve"> </w:t>
      </w:r>
    </w:p>
    <w:p w:rsidR="007E6057" w:rsidRDefault="007E6057" w:rsidP="007E605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Address: Amir Oncology Hospital, Shiraz University of Medical Sciences, Shiraz, Iran. </w:t>
      </w:r>
    </w:p>
    <w:p w:rsidR="007E6057" w:rsidRDefault="007E6057" w:rsidP="007E60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Pediatric hematology oncology department </w:t>
      </w:r>
    </w:p>
    <w:p w:rsidR="007E6057" w:rsidRDefault="007E6057" w:rsidP="007E6057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Tel: </w:t>
      </w:r>
      <w:r>
        <w:rPr>
          <w:rFonts w:ascii="Calibri" w:hAnsi="Calibri" w:cs="Calibri"/>
          <w:sz w:val="23"/>
          <w:szCs w:val="23"/>
        </w:rPr>
        <w:t>+98</w:t>
      </w:r>
      <w:r>
        <w:rPr>
          <w:sz w:val="23"/>
          <w:szCs w:val="23"/>
        </w:rPr>
        <w:t xml:space="preserve">7136323731 </w:t>
      </w:r>
    </w:p>
    <w:p w:rsidR="007E6057" w:rsidRDefault="007E6057" w:rsidP="007E60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Post code: 7187915998 </w:t>
      </w:r>
    </w:p>
    <w:p w:rsidR="007E6057" w:rsidRDefault="007E6057" w:rsidP="007E6057">
      <w:pPr>
        <w:bidi w:val="0"/>
        <w:spacing w:after="36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</w:pPr>
    </w:p>
    <w:p w:rsidR="007E6057" w:rsidRDefault="007E6057" w:rsidP="007E6057">
      <w:pPr>
        <w:pStyle w:val="Default"/>
        <w:rPr>
          <w:b/>
          <w:bCs/>
          <w:sz w:val="40"/>
          <w:szCs w:val="40"/>
          <w:u w:val="single"/>
        </w:rPr>
      </w:pPr>
      <w:r w:rsidRPr="00D258BD">
        <w:rPr>
          <w:b/>
          <w:bCs/>
          <w:sz w:val="40"/>
          <w:szCs w:val="40"/>
          <w:u w:val="single"/>
        </w:rPr>
        <w:t>Abstract:</w:t>
      </w:r>
    </w:p>
    <w:p w:rsidR="007E6057" w:rsidRPr="00D258BD" w:rsidRDefault="007E6057" w:rsidP="007E6057">
      <w:pPr>
        <w:pStyle w:val="Default"/>
        <w:rPr>
          <w:sz w:val="40"/>
          <w:szCs w:val="40"/>
          <w:u w:val="single"/>
        </w:rPr>
      </w:pPr>
      <w:r w:rsidRPr="00D258BD">
        <w:rPr>
          <w:b/>
          <w:bCs/>
          <w:sz w:val="40"/>
          <w:szCs w:val="40"/>
          <w:u w:val="single"/>
        </w:rPr>
        <w:t xml:space="preserve"> </w:t>
      </w:r>
    </w:p>
    <w:p w:rsidR="007E6057" w:rsidRPr="008506F5" w:rsidRDefault="007E6057" w:rsidP="007E6057">
      <w:pPr>
        <w:pStyle w:val="Default"/>
        <w:rPr>
          <w:color w:val="auto"/>
        </w:rPr>
      </w:pPr>
      <w:proofErr w:type="gramStart"/>
      <w:r w:rsidRPr="008506F5">
        <w:rPr>
          <w:rFonts w:asciiTheme="majorBidi" w:eastAsia="Times New Roman" w:hAnsiTheme="majorBidi" w:cstheme="majorBidi"/>
          <w:b/>
          <w:bCs/>
          <w:color w:val="auto"/>
          <w:bdr w:val="none" w:sz="0" w:space="0" w:color="auto" w:frame="1"/>
          <w:lang w:bidi="ar-SA"/>
        </w:rPr>
        <w:t>Importance</w:t>
      </w:r>
      <w:r w:rsidRPr="008506F5">
        <w:rPr>
          <w:rFonts w:asciiTheme="majorBidi" w:eastAsia="Times New Roman" w:hAnsiTheme="majorBidi" w:cstheme="majorBidi"/>
          <w:color w:val="auto"/>
          <w:lang w:bidi="ar-SA"/>
        </w:rPr>
        <w:t>  </w:t>
      </w:r>
      <w:r w:rsidRPr="008506F5">
        <w:rPr>
          <w:rFonts w:asciiTheme="majorBidi" w:eastAsia="Times New Roman" w:hAnsiTheme="majorBidi" w:cstheme="majorBidi"/>
          <w:color w:val="auto"/>
          <w:bdr w:val="none" w:sz="0" w:space="0" w:color="auto" w:frame="1"/>
          <w:lang w:bidi="ar-SA"/>
        </w:rPr>
        <w:t>:</w:t>
      </w:r>
      <w:proofErr w:type="gramEnd"/>
      <w:r w:rsidRPr="008506F5">
        <w:rPr>
          <w:color w:val="auto"/>
        </w:rPr>
        <w:t xml:space="preserve"> </w:t>
      </w:r>
      <w:proofErr w:type="spellStart"/>
      <w:r w:rsidRPr="008506F5">
        <w:rPr>
          <w:color w:val="auto"/>
        </w:rPr>
        <w:t>Anthracycline</w:t>
      </w:r>
      <w:proofErr w:type="spellEnd"/>
      <w:r w:rsidRPr="008506F5">
        <w:rPr>
          <w:color w:val="auto"/>
        </w:rPr>
        <w:t xml:space="preserve"> based treatment for acute leukemia can be associated with significant morbidity and mortality among children patients or those with significant co-morbidities. Furthermore, for patients with previous </w:t>
      </w:r>
      <w:proofErr w:type="spellStart"/>
      <w:r w:rsidRPr="008506F5">
        <w:rPr>
          <w:color w:val="auto"/>
        </w:rPr>
        <w:t>anthracycline</w:t>
      </w:r>
      <w:proofErr w:type="spellEnd"/>
      <w:r w:rsidRPr="008506F5">
        <w:rPr>
          <w:color w:val="auto"/>
        </w:rPr>
        <w:t xml:space="preserve"> exposure or preexisting cardiac disease </w:t>
      </w:r>
      <w:proofErr w:type="spellStart"/>
      <w:r w:rsidRPr="008506F5">
        <w:rPr>
          <w:color w:val="auto"/>
        </w:rPr>
        <w:t>anthracyclines</w:t>
      </w:r>
      <w:proofErr w:type="spellEnd"/>
      <w:r w:rsidRPr="008506F5">
        <w:rPr>
          <w:color w:val="auto"/>
        </w:rPr>
        <w:t xml:space="preserve"> or after relapse and </w:t>
      </w:r>
      <w:proofErr w:type="spellStart"/>
      <w:r w:rsidRPr="008506F5">
        <w:rPr>
          <w:color w:val="auto"/>
        </w:rPr>
        <w:t>recived</w:t>
      </w:r>
      <w:proofErr w:type="spellEnd"/>
      <w:r w:rsidRPr="008506F5">
        <w:rPr>
          <w:color w:val="auto"/>
        </w:rPr>
        <w:t xml:space="preserve"> full dose of </w:t>
      </w:r>
      <w:proofErr w:type="spellStart"/>
      <w:r w:rsidRPr="008506F5">
        <w:rPr>
          <w:color w:val="auto"/>
        </w:rPr>
        <w:t>anthracycline</w:t>
      </w:r>
      <w:proofErr w:type="spellEnd"/>
      <w:r w:rsidRPr="008506F5">
        <w:rPr>
          <w:color w:val="auto"/>
        </w:rPr>
        <w:t xml:space="preserve"> pose an increased risk of </w:t>
      </w:r>
      <w:proofErr w:type="spellStart"/>
      <w:r w:rsidRPr="008506F5">
        <w:rPr>
          <w:color w:val="auto"/>
        </w:rPr>
        <w:t>cardiotoxicity</w:t>
      </w:r>
      <w:proofErr w:type="spellEnd"/>
      <w:r w:rsidRPr="008506F5">
        <w:rPr>
          <w:color w:val="auto"/>
        </w:rPr>
        <w:t xml:space="preserve">. </w:t>
      </w:r>
    </w:p>
    <w:p w:rsidR="007E6057" w:rsidRPr="008506F5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7E6057" w:rsidRPr="008506F5" w:rsidRDefault="007E6057" w:rsidP="007E6057">
      <w:pPr>
        <w:pStyle w:val="Default"/>
        <w:rPr>
          <w:color w:val="auto"/>
        </w:rPr>
      </w:pPr>
      <w:proofErr w:type="gramStart"/>
      <w:r w:rsidRPr="008506F5">
        <w:rPr>
          <w:rFonts w:asciiTheme="majorBidi" w:eastAsia="Times New Roman" w:hAnsiTheme="majorBidi" w:cstheme="majorBidi"/>
          <w:b/>
          <w:bCs/>
          <w:color w:val="auto"/>
          <w:bdr w:val="none" w:sz="0" w:space="0" w:color="auto" w:frame="1"/>
          <w:lang w:bidi="ar-SA"/>
        </w:rPr>
        <w:t>Objective</w:t>
      </w:r>
      <w:r w:rsidRPr="008506F5">
        <w:rPr>
          <w:rFonts w:asciiTheme="majorBidi" w:eastAsia="Times New Roman" w:hAnsiTheme="majorBidi" w:cstheme="majorBidi"/>
          <w:color w:val="auto"/>
          <w:lang w:bidi="ar-SA"/>
        </w:rPr>
        <w:t> </w:t>
      </w:r>
      <w:r w:rsidRPr="008506F5">
        <w:rPr>
          <w:rFonts w:asciiTheme="majorBidi" w:eastAsia="Times New Roman" w:hAnsiTheme="majorBidi" w:cstheme="majorBidi" w:hint="cs"/>
          <w:color w:val="auto"/>
          <w:rtl/>
          <w:lang w:bidi="ar-SA"/>
        </w:rPr>
        <w:t>:</w:t>
      </w:r>
      <w:proofErr w:type="gramEnd"/>
      <w:r w:rsidRPr="008506F5">
        <w:rPr>
          <w:rFonts w:asciiTheme="majorBidi" w:eastAsia="Times New Roman" w:hAnsiTheme="majorBidi" w:cstheme="majorBidi"/>
          <w:color w:val="auto"/>
          <w:lang w:bidi="ar-SA"/>
        </w:rPr>
        <w:t> </w:t>
      </w:r>
      <w:r w:rsidRPr="008506F5">
        <w:rPr>
          <w:rFonts w:asciiTheme="majorBidi" w:eastAsia="Times New Roman" w:hAnsiTheme="majorBidi" w:cstheme="majorBidi"/>
          <w:color w:val="auto"/>
          <w:bdr w:val="none" w:sz="0" w:space="0" w:color="auto" w:frame="1"/>
          <w:lang w:bidi="ar-SA"/>
        </w:rPr>
        <w:t xml:space="preserve">To conduct a systematic review of the </w:t>
      </w:r>
      <w:r w:rsidRPr="008506F5">
        <w:rPr>
          <w:color w:val="auto"/>
        </w:rPr>
        <w:t xml:space="preserve">possible strategies for non- </w:t>
      </w:r>
      <w:proofErr w:type="spellStart"/>
      <w:r w:rsidRPr="008506F5">
        <w:rPr>
          <w:color w:val="auto"/>
        </w:rPr>
        <w:t>anthracycline</w:t>
      </w:r>
      <w:proofErr w:type="spellEnd"/>
      <w:r w:rsidRPr="008506F5">
        <w:rPr>
          <w:color w:val="auto"/>
        </w:rPr>
        <w:t xml:space="preserve"> salvage regimen in acute refractory leukemia. </w:t>
      </w:r>
    </w:p>
    <w:p w:rsidR="007E6057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sz w:val="24"/>
          <w:szCs w:val="24"/>
        </w:rPr>
      </w:pPr>
    </w:p>
    <w:p w:rsidR="007E6057" w:rsidRPr="00B778B8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  <w:r w:rsidRPr="008506F5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 xml:space="preserve">Data </w:t>
      </w:r>
      <w:proofErr w:type="gramStart"/>
      <w:r w:rsidRPr="008506F5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>Sources</w:t>
      </w:r>
      <w:r w:rsidRPr="008506F5">
        <w:rPr>
          <w:rFonts w:asciiTheme="majorBidi" w:eastAsia="Times New Roman" w:hAnsiTheme="majorBidi" w:cstheme="majorBidi"/>
          <w:sz w:val="24"/>
          <w:szCs w:val="24"/>
          <w:lang w:bidi="ar-SA"/>
        </w:rPr>
        <w:t>  </w:t>
      </w:r>
      <w:r w:rsidRPr="008506F5">
        <w:rPr>
          <w:rFonts w:asciiTheme="majorBidi" w:eastAsia="Times New Roman" w:hAnsiTheme="majorBidi" w:cstheme="majorBidi" w:hint="cs"/>
          <w:sz w:val="24"/>
          <w:szCs w:val="24"/>
          <w:rtl/>
          <w:lang w:bidi="ar-SA"/>
        </w:rPr>
        <w:t>:</w:t>
      </w:r>
      <w:r w:rsidRPr="008506F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>25</w:t>
      </w:r>
      <w:proofErr w:type="gramEnd"/>
      <w:r w:rsidRPr="008506F5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 databases from inception </w:t>
      </w:r>
      <w:r w:rsidRPr="00B778B8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to </w:t>
      </w:r>
      <w:proofErr w:type="spellStart"/>
      <w:r w:rsidRPr="00B778B8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>Agust</w:t>
      </w:r>
      <w:proofErr w:type="spellEnd"/>
      <w:r w:rsidRPr="00B778B8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 2016.</w:t>
      </w:r>
    </w:p>
    <w:p w:rsidR="007E6057" w:rsidRPr="00B778B8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7E6057" w:rsidRPr="00B778B8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  <w:r w:rsidRPr="00B778B8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 xml:space="preserve">Study </w:t>
      </w:r>
      <w:proofErr w:type="gramStart"/>
      <w:r w:rsidRPr="00B778B8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>Selection</w:t>
      </w:r>
      <w:r w:rsidRPr="00B778B8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B778B8">
        <w:rPr>
          <w:rFonts w:asciiTheme="majorBidi" w:eastAsia="Times New Roman" w:hAnsiTheme="majorBidi" w:cstheme="majorBidi" w:hint="cs"/>
          <w:sz w:val="24"/>
          <w:szCs w:val="24"/>
          <w:rtl/>
          <w:lang w:bidi="ar-SA"/>
        </w:rPr>
        <w:t>:</w:t>
      </w:r>
      <w:proofErr w:type="gramEnd"/>
      <w:r w:rsidRPr="00B778B8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B778B8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Randomized clinical trials  or other types of studies about salvage chemotherapy regimens </w:t>
      </w:r>
      <w:r w:rsidRPr="00B778B8">
        <w:t>in acute refractory leukemia in pediatric and adult.</w:t>
      </w:r>
    </w:p>
    <w:p w:rsidR="007E6057" w:rsidRPr="00B778B8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</w:p>
    <w:p w:rsidR="007E6057" w:rsidRPr="00B778B8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lang w:bidi="ar-SA"/>
        </w:rPr>
      </w:pPr>
      <w:r w:rsidRPr="00B778B8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>Data Extraction and Synthesis</w:t>
      </w:r>
      <w:r w:rsidRPr="00B778B8">
        <w:rPr>
          <w:rFonts w:asciiTheme="majorBidi" w:eastAsia="Times New Roman" w:hAnsiTheme="majorBidi" w:cstheme="majorBidi" w:hint="cs"/>
          <w:b/>
          <w:bCs/>
          <w:sz w:val="24"/>
          <w:szCs w:val="24"/>
          <w:bdr w:val="none" w:sz="0" w:space="0" w:color="auto" w:frame="1"/>
          <w:rtl/>
          <w:lang w:bidi="ar-SA"/>
        </w:rPr>
        <w:t>:</w:t>
      </w:r>
      <w:r w:rsidRPr="00B778B8">
        <w:rPr>
          <w:rFonts w:asciiTheme="majorBidi" w:eastAsia="Times New Roman" w:hAnsiTheme="majorBidi" w:cstheme="majorBidi"/>
          <w:sz w:val="24"/>
          <w:szCs w:val="24"/>
          <w:lang w:bidi="ar-SA"/>
        </w:rPr>
        <w:t>  </w:t>
      </w:r>
      <w:r w:rsidRPr="00B778B8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>Study quality was assessed using the Cochrane risk of bias tool. All review stages were conducted independently by 2 reviewers. Where possible, data were pooled using random-effects meta-analysis.</w:t>
      </w:r>
    </w:p>
    <w:p w:rsidR="007E6057" w:rsidRPr="008506F5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  <w:r w:rsidRPr="00B778B8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 xml:space="preserve">Main Outcomes and </w:t>
      </w:r>
      <w:proofErr w:type="gramStart"/>
      <w:r w:rsidRPr="00B778B8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>Measures</w:t>
      </w:r>
      <w:r w:rsidRPr="00B778B8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B778B8">
        <w:rPr>
          <w:rFonts w:asciiTheme="majorBidi" w:eastAsia="Times New Roman" w:hAnsiTheme="majorBidi" w:cstheme="majorBidi" w:hint="cs"/>
          <w:sz w:val="24"/>
          <w:szCs w:val="24"/>
          <w:rtl/>
          <w:lang w:bidi="ar-SA"/>
        </w:rPr>
        <w:t>:</w:t>
      </w:r>
      <w:proofErr w:type="gramEnd"/>
      <w:r w:rsidRPr="00B778B8">
        <w:rPr>
          <w:rFonts w:asciiTheme="majorBidi" w:eastAsia="Times New Roman" w:hAnsiTheme="majorBidi" w:cstheme="majorBidi"/>
          <w:sz w:val="24"/>
          <w:szCs w:val="24"/>
          <w:lang w:bidi="ar-SA"/>
        </w:rPr>
        <w:t> 75 articles</w:t>
      </w:r>
    </w:p>
    <w:p w:rsidR="007E6057" w:rsidRPr="009B7950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</w:p>
    <w:p w:rsidR="007E6057" w:rsidRDefault="007E6057" w:rsidP="007E6057">
      <w:pPr>
        <w:pStyle w:val="Default"/>
        <w:rPr>
          <w:rFonts w:asciiTheme="majorBidi" w:eastAsia="Times New Roman" w:hAnsiTheme="majorBidi" w:cstheme="majorBidi"/>
          <w:b/>
          <w:bCs/>
          <w:color w:val="auto"/>
          <w:bdr w:val="none" w:sz="0" w:space="0" w:color="auto" w:frame="1"/>
          <w:lang w:bidi="ar-SA"/>
        </w:rPr>
      </w:pPr>
    </w:p>
    <w:p w:rsidR="007E6057" w:rsidRDefault="007E6057" w:rsidP="007E6057">
      <w:pPr>
        <w:pStyle w:val="Default"/>
        <w:rPr>
          <w:rFonts w:asciiTheme="majorBidi" w:eastAsia="Times New Roman" w:hAnsiTheme="majorBidi" w:cstheme="majorBidi"/>
          <w:b/>
          <w:bCs/>
          <w:color w:val="auto"/>
          <w:bdr w:val="none" w:sz="0" w:space="0" w:color="auto" w:frame="1"/>
          <w:lang w:bidi="ar-SA"/>
        </w:rPr>
      </w:pPr>
    </w:p>
    <w:p w:rsidR="007E6057" w:rsidRPr="00D54A64" w:rsidRDefault="007E6057" w:rsidP="007E6057">
      <w:pPr>
        <w:pStyle w:val="Default"/>
        <w:rPr>
          <w:color w:val="auto"/>
          <w:rtl/>
        </w:rPr>
      </w:pPr>
      <w:proofErr w:type="gramStart"/>
      <w:r w:rsidRPr="009B7950">
        <w:rPr>
          <w:rFonts w:asciiTheme="majorBidi" w:eastAsia="Times New Roman" w:hAnsiTheme="majorBidi" w:cstheme="majorBidi"/>
          <w:b/>
          <w:bCs/>
          <w:color w:val="auto"/>
          <w:bdr w:val="none" w:sz="0" w:space="0" w:color="auto" w:frame="1"/>
          <w:lang w:bidi="ar-SA"/>
        </w:rPr>
        <w:lastRenderedPageBreak/>
        <w:t>Results</w:t>
      </w:r>
      <w:r w:rsidRPr="009B7950">
        <w:rPr>
          <w:rFonts w:asciiTheme="majorBidi" w:eastAsia="Times New Roman" w:hAnsiTheme="majorBidi" w:cstheme="majorBidi"/>
          <w:color w:val="auto"/>
          <w:lang w:bidi="ar-SA"/>
        </w:rPr>
        <w:t> </w:t>
      </w:r>
      <w:r w:rsidRPr="009B7950">
        <w:rPr>
          <w:rFonts w:asciiTheme="majorBidi" w:eastAsia="Times New Roman" w:hAnsiTheme="majorBidi" w:cstheme="majorBidi" w:hint="cs"/>
          <w:color w:val="auto"/>
          <w:rtl/>
          <w:lang w:bidi="ar-SA"/>
        </w:rPr>
        <w:t>:</w:t>
      </w:r>
      <w:proofErr w:type="gramEnd"/>
    </w:p>
    <w:p w:rsidR="007E6057" w:rsidRPr="009B7950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</w:pPr>
      <w:r w:rsidRPr="009B7950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9B7950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A total of </w:t>
      </w:r>
      <w:r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>105</w:t>
      </w:r>
      <w:r w:rsidRPr="009B7950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 trials were included; 4 were judged at low risk of bias. Most trials showed improvement did not reach statistical significance.</w:t>
      </w:r>
    </w:p>
    <w:p w:rsidR="007E6057" w:rsidRPr="009B7950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sz w:val="24"/>
          <w:szCs w:val="24"/>
          <w:lang w:bidi="ar-SA"/>
        </w:rPr>
      </w:pPr>
      <w:r w:rsidRPr="009B7950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 </w:t>
      </w:r>
      <w:r w:rsidRPr="009B7950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 xml:space="preserve">Conclusions and </w:t>
      </w:r>
      <w:proofErr w:type="gramStart"/>
      <w:r w:rsidRPr="009B7950">
        <w:rPr>
          <w:rFonts w:asciiTheme="majorBidi" w:eastAsia="Times New Roman" w:hAnsiTheme="majorBidi" w:cstheme="majorBidi"/>
          <w:b/>
          <w:bCs/>
          <w:sz w:val="24"/>
          <w:szCs w:val="24"/>
          <w:bdr w:val="none" w:sz="0" w:space="0" w:color="auto" w:frame="1"/>
          <w:lang w:bidi="ar-SA"/>
        </w:rPr>
        <w:t>Relevance</w:t>
      </w:r>
      <w:r w:rsidRPr="009B7950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9B7950">
        <w:rPr>
          <w:rFonts w:asciiTheme="majorBidi" w:eastAsia="Times New Roman" w:hAnsiTheme="majorBidi" w:cstheme="majorBidi" w:hint="cs"/>
          <w:sz w:val="24"/>
          <w:szCs w:val="24"/>
          <w:rtl/>
          <w:lang w:bidi="ar-SA"/>
        </w:rPr>
        <w:t>:</w:t>
      </w:r>
      <w:proofErr w:type="gramEnd"/>
      <w:r w:rsidRPr="009B7950">
        <w:rPr>
          <w:rFonts w:asciiTheme="majorBidi" w:eastAsia="Times New Roman" w:hAnsiTheme="majorBidi" w:cstheme="majorBidi"/>
          <w:sz w:val="24"/>
          <w:szCs w:val="24"/>
          <w:lang w:bidi="ar-SA"/>
        </w:rPr>
        <w:t> </w:t>
      </w:r>
      <w:r w:rsidRPr="009B7950">
        <w:rPr>
          <w:rFonts w:asciiTheme="majorBidi" w:eastAsia="Times New Roman" w:hAnsiTheme="majorBidi" w:cstheme="majorBidi"/>
          <w:sz w:val="24"/>
          <w:szCs w:val="24"/>
          <w:bdr w:val="none" w:sz="0" w:space="0" w:color="auto" w:frame="1"/>
          <w:lang w:bidi="ar-SA"/>
        </w:rPr>
        <w:t xml:space="preserve">There was moderate-quality evidence to support the use </w:t>
      </w:r>
    </w:p>
    <w:p w:rsidR="007E6057" w:rsidRPr="009B7950" w:rsidRDefault="007E6057" w:rsidP="007E6057">
      <w:pPr>
        <w:shd w:val="clear" w:color="auto" w:fill="FFFFFF"/>
        <w:bidi w:val="0"/>
        <w:spacing w:after="0" w:line="240" w:lineRule="auto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bidi="ar-SA"/>
        </w:rPr>
      </w:pPr>
      <w:r w:rsidRPr="009B7950">
        <w:rPr>
          <w:rFonts w:asciiTheme="majorBidi" w:hAnsiTheme="majorBidi" w:cstheme="majorBidi"/>
          <w:sz w:val="24"/>
          <w:szCs w:val="24"/>
        </w:rPr>
        <w:t>FLAG (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fludarabine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cytarabine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filgrastim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>or ICE-Rituximab</w:t>
      </w:r>
      <w:r w:rsidRPr="009B7950">
        <w:rPr>
          <w:rFonts w:asciiTheme="majorBidi" w:hAnsiTheme="majorBidi" w:cstheme="majorBidi"/>
          <w:sz w:val="24"/>
          <w:szCs w:val="24"/>
        </w:rPr>
        <w:t xml:space="preserve"> regimen</w:t>
      </w:r>
      <w:r>
        <w:rPr>
          <w:rFonts w:asciiTheme="majorBidi" w:hAnsiTheme="majorBidi" w:cstheme="majorBidi"/>
          <w:sz w:val="24"/>
          <w:szCs w:val="24"/>
        </w:rPr>
        <w:t xml:space="preserve">s </w:t>
      </w:r>
      <w:r w:rsidRPr="009B7950">
        <w:rPr>
          <w:rFonts w:asciiTheme="majorBidi" w:hAnsiTheme="majorBidi" w:cstheme="majorBidi"/>
          <w:sz w:val="24"/>
          <w:szCs w:val="24"/>
        </w:rPr>
        <w:t xml:space="preserve">or monoclonal antibody such as  or tyrosine kinase inhibitors such as 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Sorafenib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 are a non-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anthracycline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 based chemotherapy useful for relapsed/refractory acute leukemia and as initial therapy or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Clofarabine</w:t>
      </w:r>
      <w:r>
        <w:rPr>
          <w:rFonts w:asciiTheme="majorBidi" w:hAnsiTheme="majorBidi" w:cstheme="majorBidi"/>
          <w:sz w:val="24"/>
          <w:szCs w:val="24"/>
        </w:rPr>
        <w:t>,Cladribine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B7950">
        <w:rPr>
          <w:rFonts w:asciiTheme="majorBidi" w:hAnsiTheme="majorBidi" w:cstheme="majorBidi"/>
          <w:sz w:val="24"/>
          <w:szCs w:val="24"/>
        </w:rPr>
        <w:t xml:space="preserve"> for acute myeloid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leukaemia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 xml:space="preserve"> in patients for whom </w:t>
      </w:r>
      <w:proofErr w:type="spellStart"/>
      <w:r w:rsidRPr="009B7950">
        <w:rPr>
          <w:rFonts w:asciiTheme="majorBidi" w:hAnsiTheme="majorBidi" w:cstheme="majorBidi"/>
          <w:sz w:val="24"/>
          <w:szCs w:val="24"/>
        </w:rPr>
        <w:t>anthracycline</w:t>
      </w:r>
      <w:proofErr w:type="spellEnd"/>
      <w:r w:rsidRPr="009B7950">
        <w:rPr>
          <w:rFonts w:asciiTheme="majorBidi" w:hAnsiTheme="majorBidi" w:cstheme="majorBidi"/>
          <w:sz w:val="24"/>
          <w:szCs w:val="24"/>
        </w:rPr>
        <w:t>-containing combination chemotherapy is inappropriate.</w:t>
      </w:r>
      <w:r w:rsidRPr="009B795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bidi="ar-SA"/>
        </w:rPr>
        <w:t xml:space="preserve"> </w:t>
      </w:r>
    </w:p>
    <w:p w:rsidR="008D66F4" w:rsidRDefault="008D66F4">
      <w:bookmarkStart w:id="0" w:name="_GoBack"/>
      <w:bookmarkEnd w:id="0"/>
    </w:p>
    <w:sectPr w:rsidR="008D66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57"/>
    <w:rsid w:val="007E6057"/>
    <w:rsid w:val="008D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057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60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057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60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Karimi</dc:creator>
  <cp:lastModifiedBy>Karimi</cp:lastModifiedBy>
  <cp:revision>1</cp:revision>
  <dcterms:created xsi:type="dcterms:W3CDTF">2016-12-20T15:44:00Z</dcterms:created>
  <dcterms:modified xsi:type="dcterms:W3CDTF">2016-12-20T15:44:00Z</dcterms:modified>
</cp:coreProperties>
</file>