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E45" w:rsidRDefault="00C56E45" w:rsidP="00C56E45">
      <w:pPr>
        <w:pStyle w:val="Heading1"/>
        <w:spacing w:before="170" w:line="240" w:lineRule="auto"/>
        <w:ind w:left="0"/>
        <w:contextualSpacing/>
        <w:rPr>
          <w:color w:val="337AB7"/>
        </w:rPr>
      </w:pPr>
      <w:r>
        <w:rPr>
          <w:color w:val="337AB7"/>
        </w:rPr>
        <w:t xml:space="preserve">Blood Pressure Morning Surge in Hypertensive Filipino Patients: </w:t>
      </w:r>
    </w:p>
    <w:p w:rsidR="00AE3E37" w:rsidRPr="00C56E45" w:rsidRDefault="00C56E45" w:rsidP="00C56E45">
      <w:pPr>
        <w:pStyle w:val="Heading1"/>
        <w:spacing w:before="170" w:line="240" w:lineRule="auto"/>
        <w:ind w:left="0"/>
        <w:contextualSpacing/>
        <w:rPr>
          <w:i/>
        </w:rPr>
      </w:pPr>
      <w:r>
        <w:rPr>
          <w:color w:val="337AB7"/>
        </w:rPr>
        <w:t>A 24-Hour Ambulatory BP Monitoring Study in a Tertiary Hospital</w:t>
      </w:r>
    </w:p>
    <w:p w:rsidR="00C56E45" w:rsidRDefault="00C56E45" w:rsidP="00DD37E9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Jason S. Santos</w:t>
      </w:r>
      <w:r w:rsidR="00065718">
        <w:rPr>
          <w:rFonts w:ascii="Arial"/>
        </w:rPr>
        <w:t>,</w:t>
      </w:r>
      <w:r>
        <w:rPr>
          <w:rFonts w:ascii="Arial"/>
        </w:rPr>
        <w:t xml:space="preserve"> M.D.</w:t>
      </w:r>
    </w:p>
    <w:p w:rsidR="005973B9" w:rsidRDefault="00C56E45" w:rsidP="00DD37E9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University of Santo Tomas Hospital, Philippines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C56E45" w:rsidRDefault="00A9710C">
      <w:pPr>
        <w:pStyle w:val="BodyText"/>
        <w:spacing w:before="90" w:line="280" w:lineRule="auto"/>
        <w:ind w:left="100"/>
        <w:jc w:val="both"/>
      </w:pPr>
      <w:r>
        <w:lastRenderedPageBreak/>
        <w:t>Statement of the Problem</w:t>
      </w:r>
      <w:r w:rsidR="00C56E45" w:rsidRPr="00C56E45">
        <w:t>: In the Philippines, an increasing prevalence of hypertension had been observed over the past decade and remains to be the most common cause of morbidity and mortality in the country. Many</w:t>
      </w:r>
      <w:r w:rsidR="00DD37E9">
        <w:t xml:space="preserve"> </w:t>
      </w:r>
      <w:r w:rsidR="00C56E45" w:rsidRPr="00C56E45">
        <w:t>display an exaggerated increase in blood pressure levels in</w:t>
      </w:r>
      <w:r w:rsidR="00DD37E9">
        <w:t xml:space="preserve"> the morning, referred to as</w:t>
      </w:r>
      <w:r w:rsidR="00C56E45" w:rsidRPr="00C56E45">
        <w:t xml:space="preserve"> morning surge, a phenomenon known to increase the risk of cardiovascular events. This s</w:t>
      </w:r>
      <w:r w:rsidR="00DD37E9">
        <w:t>tudy aims to determine whether morning surge is present in h</w:t>
      </w:r>
      <w:r w:rsidR="00C56E45" w:rsidRPr="00C56E45">
        <w:t>ypertensive Filipino patients and whether this correlates with control of hypertension.</w:t>
      </w:r>
      <w:r>
        <w:t xml:space="preserve"> </w:t>
      </w:r>
    </w:p>
    <w:p w:rsidR="00DD37E9" w:rsidRDefault="00A9710C" w:rsidP="00DD37E9">
      <w:pPr>
        <w:pStyle w:val="BodyText"/>
        <w:spacing w:before="90" w:line="280" w:lineRule="auto"/>
        <w:ind w:left="100"/>
        <w:jc w:val="both"/>
      </w:pPr>
      <w:r>
        <w:t>Methodolog</w:t>
      </w:r>
      <w:r w:rsidR="008756E6">
        <w:t xml:space="preserve">y: </w:t>
      </w:r>
      <w:r w:rsidR="00C56E45" w:rsidRPr="00C56E45">
        <w:t xml:space="preserve">This is a retrospective cross-sectional study. 134 hypertensive patients who met the inclusion criteria were included. </w:t>
      </w:r>
      <w:r w:rsidR="00DD37E9">
        <w:t>M</w:t>
      </w:r>
      <w:r w:rsidR="00C56E45" w:rsidRPr="00C56E45">
        <w:t>orning surge was defined as the difference between blood pressures 2 hours before and after the waking hour. A difference of more than 20 was considered significant. Morning surge scores were then compared to age, gender, and control of hypertension to examine the association between these factors.</w:t>
      </w:r>
      <w:r w:rsidR="00DD37E9">
        <w:t xml:space="preserve"> </w:t>
      </w:r>
    </w:p>
    <w:p w:rsidR="00DD37E9" w:rsidRDefault="00A9710C" w:rsidP="00DD37E9">
      <w:pPr>
        <w:pStyle w:val="BodyText"/>
        <w:spacing w:before="90" w:line="280" w:lineRule="auto"/>
        <w:ind w:left="100"/>
        <w:jc w:val="both"/>
      </w:pPr>
      <w:r>
        <w:t xml:space="preserve">Findings: </w:t>
      </w:r>
      <w:r w:rsidR="00C56E45" w:rsidRPr="00C56E45">
        <w:t>Blood pressure morning surge was significantly increased in the older subjects compared to the younger subjects (p = 0.031) and the proportion of patients with significant surge score was higher among men (65.3%) compared t</w:t>
      </w:r>
      <w:r w:rsidR="00C56E45">
        <w:t>o</w:t>
      </w:r>
      <w:r w:rsidR="00C56E45" w:rsidRPr="00C56E45">
        <w:t xml:space="preserve"> women (34.69%). There was no significant correlation between control of blood pressure and the morning surge (p = 0.210). Multivariate analysis showed that gender was the risk factor with the highest correlation with morning surge, with male patients having 2.7 times the risk of having a morning surge score of more than 20 than female patients.</w:t>
      </w:r>
      <w:r w:rsidR="00DD37E9">
        <w:t xml:space="preserve"> </w:t>
      </w:r>
      <w:r>
        <w:t xml:space="preserve"> </w:t>
      </w:r>
    </w:p>
    <w:p w:rsidR="00AE3E37" w:rsidRDefault="00A9710C" w:rsidP="00DD37E9">
      <w:pPr>
        <w:pStyle w:val="BodyText"/>
        <w:spacing w:before="90" w:line="280" w:lineRule="auto"/>
        <w:ind w:left="100"/>
        <w:jc w:val="both"/>
      </w:pPr>
      <w:r>
        <w:t xml:space="preserve">Conclusion: </w:t>
      </w:r>
      <w:r w:rsidR="00C56E45" w:rsidRPr="00C56E45">
        <w:t>Morning surge was present in hypertensive Filipino patients wh</w:t>
      </w:r>
      <w:r w:rsidR="00C56E45">
        <w:t>o underwent 24 hour ambulatory BP</w:t>
      </w:r>
      <w:r w:rsidR="00C56E45" w:rsidRPr="00C56E45">
        <w:t xml:space="preserve"> monitoring. Control of hypertension had no correlation with morning surge</w:t>
      </w:r>
      <w:r w:rsidR="00150A1E">
        <w:t>.</w:t>
      </w:r>
      <w:r w:rsidR="00C56E45" w:rsidRPr="00C56E45">
        <w:t xml:space="preserve"> The presence of morning surge showed a trend towards the older age group and the male gender being the most afflicted with this phenomenon.  Between the different factors analyzed, gender has the most impact on morning surge.</w:t>
      </w:r>
    </w:p>
    <w:p w:rsidR="00AE3E37" w:rsidRPr="007033E4" w:rsidRDefault="007033E4" w:rsidP="007033E4">
      <w:pPr>
        <w:pStyle w:val="Heading3"/>
        <w:spacing w:before="74"/>
        <w:ind w:firstLine="620"/>
        <w:rPr>
          <w:b w:val="0"/>
        </w:rPr>
      </w:pPr>
      <w:r>
        <w:rPr>
          <w:b w:val="0"/>
          <w:noProof/>
          <w:sz w:val="16"/>
          <w:lang w:val="en-PH" w:eastAsia="en-PH"/>
        </w:rPr>
        <w:drawing>
          <wp:anchor distT="0" distB="0" distL="114300" distR="114300" simplePos="0" relativeHeight="251658240" behindDoc="1" locked="0" layoutInCell="1" allowOverlap="1" wp14:anchorId="467A8C6E" wp14:editId="666A3F96">
            <wp:simplePos x="0" y="0"/>
            <wp:positionH relativeFrom="column">
              <wp:posOffset>52070</wp:posOffset>
            </wp:positionH>
            <wp:positionV relativeFrom="paragraph">
              <wp:posOffset>77470</wp:posOffset>
            </wp:positionV>
            <wp:extent cx="3167380" cy="2004060"/>
            <wp:effectExtent l="0" t="0" r="0" b="0"/>
            <wp:wrapThrough wrapText="bothSides">
              <wp:wrapPolygon edited="0">
                <wp:start x="0" y="0"/>
                <wp:lineTo x="0" y="21354"/>
                <wp:lineTo x="21435" y="21354"/>
                <wp:lineTo x="21435" y="0"/>
                <wp:lineTo x="0" y="0"/>
              </wp:wrapPolygon>
            </wp:wrapThrough>
            <wp:docPr id="2" name="Picture 2" descr="C:\Users\Jason\Desktop\Tables\Tabl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son\Desktop\Tables\Table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74"/>
                    <a:stretch/>
                  </pic:blipFill>
                  <pic:spPr bwMode="auto">
                    <a:xfrm>
                      <a:off x="0" y="0"/>
                      <a:ext cx="316738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F73915">
        <w:rPr>
          <w:b w:val="0"/>
          <w:color w:val="BF5A14"/>
        </w:rPr>
        <w:lastRenderedPageBreak/>
        <w:t>Recent Publications</w:t>
      </w:r>
    </w:p>
    <w:p w:rsid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fldChar w:fldCharType="begin" w:fldLock="1"/>
      </w:r>
      <w:r>
        <w:rPr>
          <w:rFonts w:ascii="Arial" w:hAnsi="Arial" w:cs="Arial"/>
          <w:b/>
          <w:color w:val="000000"/>
          <w:sz w:val="24"/>
          <w:szCs w:val="24"/>
        </w:rPr>
        <w:instrText xml:space="preserve">ADDIN Mendeley Bibliography CSL_BIBLIOGRAPHY </w:instrText>
      </w:r>
      <w:r>
        <w:rPr>
          <w:rFonts w:ascii="Arial" w:hAnsi="Arial" w:cs="Arial"/>
          <w:b/>
          <w:color w:val="000000"/>
          <w:sz w:val="24"/>
          <w:szCs w:val="24"/>
        </w:rPr>
        <w:fldChar w:fldCharType="separate"/>
      </w:r>
      <w:r>
        <w:rPr>
          <w:rFonts w:cs="Arial"/>
          <w:noProof/>
          <w:sz w:val="18"/>
          <w:szCs w:val="24"/>
        </w:rPr>
        <w:t>Am</w:t>
      </w:r>
      <w:r w:rsidRPr="00F73915">
        <w:rPr>
          <w:rFonts w:cs="Arial"/>
          <w:noProof/>
          <w:sz w:val="18"/>
          <w:szCs w:val="24"/>
        </w:rPr>
        <w:t xml:space="preserve">ar, Jacques et al. 2000. “Nocturnal Blood Pressure and 24-Hour Pulse Pressure Are Potent Indicators of Mortality in Hemodialysis Patients.” </w:t>
      </w:r>
      <w:r w:rsidRPr="00F73915">
        <w:rPr>
          <w:rFonts w:cs="Arial"/>
          <w:i/>
          <w:iCs/>
          <w:noProof/>
          <w:sz w:val="18"/>
          <w:szCs w:val="24"/>
        </w:rPr>
        <w:t>Kidney International</w:t>
      </w:r>
      <w:r w:rsidRPr="00F73915">
        <w:rPr>
          <w:rFonts w:cs="Arial"/>
          <w:noProof/>
          <w:sz w:val="18"/>
          <w:szCs w:val="24"/>
        </w:rPr>
        <w:t xml:space="preserve"> 57(6):2485–91.</w:t>
      </w:r>
    </w:p>
    <w:p w:rsid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Daugherty, Stacie L. et al. 2011. “Age-Dependent Gender Differences in Hypertension Management.” </w:t>
      </w:r>
      <w:r w:rsidRPr="00F73915">
        <w:rPr>
          <w:rFonts w:cs="Arial"/>
          <w:i/>
          <w:iCs/>
          <w:noProof/>
          <w:sz w:val="18"/>
          <w:szCs w:val="24"/>
        </w:rPr>
        <w:t>J Hypertens Wolters Kluwer Health Journal of Hypertension</w:t>
      </w:r>
      <w:r w:rsidRPr="00F73915">
        <w:rPr>
          <w:rFonts w:cs="Arial"/>
          <w:noProof/>
          <w:sz w:val="18"/>
          <w:szCs w:val="24"/>
        </w:rPr>
        <w:t xml:space="preserve"> 29(29):0–0.</w:t>
      </w:r>
    </w:p>
    <w:p w:rsid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>Everett</w:t>
      </w:r>
      <w:r>
        <w:rPr>
          <w:rFonts w:cs="Arial"/>
          <w:noProof/>
          <w:sz w:val="18"/>
          <w:szCs w:val="24"/>
        </w:rPr>
        <w:t>, Bethany a</w:t>
      </w:r>
      <w:r w:rsidRPr="00F73915">
        <w:rPr>
          <w:rFonts w:cs="Arial"/>
          <w:noProof/>
          <w:sz w:val="18"/>
          <w:szCs w:val="24"/>
        </w:rPr>
        <w:t>nd Anna Zajacova</w:t>
      </w:r>
      <w:r w:rsidRPr="00F73915">
        <w:rPr>
          <w:rFonts w:cs="Arial"/>
          <w:noProof/>
          <w:sz w:val="18"/>
          <w:szCs w:val="24"/>
        </w:rPr>
        <w:t xml:space="preserve">. 2015. “Gender Differences in Hypertension and Hypertension Awareness Among Young Adults.” </w:t>
      </w:r>
      <w:r w:rsidRPr="00F73915">
        <w:rPr>
          <w:rFonts w:cs="Arial"/>
          <w:i/>
          <w:iCs/>
          <w:noProof/>
          <w:sz w:val="18"/>
          <w:szCs w:val="24"/>
        </w:rPr>
        <w:t>Biodemography and Social Biology</w:t>
      </w:r>
      <w:r w:rsidRPr="00F73915">
        <w:rPr>
          <w:rFonts w:cs="Arial"/>
          <w:noProof/>
          <w:sz w:val="18"/>
          <w:szCs w:val="24"/>
        </w:rPr>
        <w:t xml:space="preserve"> 61(1):1–17. </w:t>
      </w:r>
    </w:p>
    <w:p w:rsid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Foundation, National Heart, High Blood Pressure, and Consensus Committee. 2011. “Ambulatory Blood Pressure Monitoring.” </w:t>
      </w:r>
      <w:r w:rsidRPr="00F73915">
        <w:rPr>
          <w:rFonts w:cs="Arial"/>
          <w:i/>
          <w:iCs/>
          <w:noProof/>
          <w:sz w:val="18"/>
          <w:szCs w:val="24"/>
        </w:rPr>
        <w:t>Australian Family Physician</w:t>
      </w:r>
      <w:r w:rsidRPr="00F73915">
        <w:rPr>
          <w:rFonts w:cs="Arial"/>
          <w:noProof/>
          <w:sz w:val="18"/>
          <w:szCs w:val="24"/>
        </w:rPr>
        <w:t xml:space="preserve"> 40(11):877–80.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Grezzana, Guilherme Brasil, Airton Tetelbon Stein, and Lucia Campos Pellanda. 2013. “Blood Pressure Treatment Adherence and Control through 24-Hour Ambulatory Monitoring.” </w:t>
      </w:r>
      <w:r w:rsidRPr="00F73915">
        <w:rPr>
          <w:rFonts w:cs="Arial"/>
          <w:i/>
          <w:iCs/>
          <w:noProof/>
          <w:sz w:val="18"/>
          <w:szCs w:val="24"/>
        </w:rPr>
        <w:t>Arquivos Brasileiros de Cardiologia</w:t>
      </w:r>
      <w:r w:rsidRPr="00F73915">
        <w:rPr>
          <w:rFonts w:cs="Arial"/>
          <w:noProof/>
          <w:sz w:val="18"/>
          <w:szCs w:val="24"/>
        </w:rPr>
        <w:t xml:space="preserve"> 100(4):335–61.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Grossman, Ehud. 2013. “Ambulatory Blood Pressure Monitoring in the Diagnosis and Management of Hypertension.” </w:t>
      </w:r>
      <w:r w:rsidRPr="00F73915">
        <w:rPr>
          <w:rFonts w:cs="Arial"/>
          <w:i/>
          <w:iCs/>
          <w:noProof/>
          <w:sz w:val="18"/>
          <w:szCs w:val="24"/>
        </w:rPr>
        <w:t>Diabetes Care</w:t>
      </w:r>
      <w:r w:rsidRPr="00F73915">
        <w:rPr>
          <w:rFonts w:cs="Arial"/>
          <w:noProof/>
          <w:sz w:val="18"/>
          <w:szCs w:val="24"/>
        </w:rPr>
        <w:t xml:space="preserve"> 36(SUPPL.2).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Hara, Azusa et al. 2012. “Ambulatory versus Home versus Clinic Blood Pressure: The Association with Subclinical Cerebrovascular Diseases: The Ohasama Study.” </w:t>
      </w:r>
      <w:r w:rsidRPr="00F73915">
        <w:rPr>
          <w:rFonts w:cs="Arial"/>
          <w:i/>
          <w:iCs/>
          <w:noProof/>
          <w:sz w:val="18"/>
          <w:szCs w:val="24"/>
        </w:rPr>
        <w:t>Hypertension</w:t>
      </w:r>
      <w:r w:rsidRPr="00F73915">
        <w:rPr>
          <w:rFonts w:cs="Arial"/>
          <w:noProof/>
          <w:sz w:val="18"/>
          <w:szCs w:val="24"/>
        </w:rPr>
        <w:t xml:space="preserve"> 59(1):22–28.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Kaplan, Norman M. 2003. “Morning Surge in Blood Pressure.” </w:t>
      </w:r>
      <w:r w:rsidRPr="00F73915">
        <w:rPr>
          <w:rFonts w:cs="Arial"/>
          <w:i/>
          <w:iCs/>
          <w:noProof/>
          <w:sz w:val="18"/>
          <w:szCs w:val="24"/>
        </w:rPr>
        <w:t>Circulation</w:t>
      </w:r>
      <w:r w:rsidRPr="00F73915">
        <w:rPr>
          <w:rFonts w:cs="Arial"/>
          <w:noProof/>
          <w:sz w:val="18"/>
          <w:szCs w:val="24"/>
        </w:rPr>
        <w:t>, 1347.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Kario, K., K. Shimada, and T. G. Pickering. 2003. “Abnormal Nocturnal Blood Pressure Falls in Elderly Hypertension: Clinical Significance and Determinants.” </w:t>
      </w:r>
      <w:r w:rsidRPr="00F73915">
        <w:rPr>
          <w:rFonts w:cs="Arial"/>
          <w:i/>
          <w:iCs/>
          <w:noProof/>
          <w:sz w:val="18"/>
          <w:szCs w:val="24"/>
        </w:rPr>
        <w:t>Journal of Cardiovascular Pharmacology</w:t>
      </w:r>
      <w:r w:rsidRPr="00F73915">
        <w:rPr>
          <w:rFonts w:cs="Arial"/>
          <w:noProof/>
          <w:sz w:val="18"/>
          <w:szCs w:val="24"/>
        </w:rPr>
        <w:t xml:space="preserve"> 41 Suppl 1:S61-6.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Kario, Kazuomi. 2005. “Morning Hypertension: A Pitfall of Current Hypertensive Management.” </w:t>
      </w:r>
      <w:r w:rsidRPr="00F73915">
        <w:rPr>
          <w:rFonts w:cs="Arial"/>
          <w:i/>
          <w:iCs/>
          <w:noProof/>
          <w:sz w:val="18"/>
          <w:szCs w:val="24"/>
        </w:rPr>
        <w:t>Japan Medical Association Journal</w:t>
      </w:r>
      <w:r w:rsidRPr="00F73915">
        <w:rPr>
          <w:rFonts w:cs="Arial"/>
          <w:noProof/>
          <w:sz w:val="18"/>
          <w:szCs w:val="24"/>
        </w:rPr>
        <w:t xml:space="preserve"> 48(5):234–40.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>Kario, Kazuomi. 2007. “Preceding Linkage between a Morning Surge in Blood Pressure and Small Artery Remodeling</w:t>
      </w:r>
      <w:r w:rsidRPr="00F73915">
        <w:rPr>
          <w:rFonts w:ascii="Arial" w:hAnsi="Arial" w:cs="Arial"/>
          <w:noProof/>
          <w:sz w:val="18"/>
          <w:szCs w:val="24"/>
        </w:rPr>
        <w:t> </w:t>
      </w:r>
      <w:r w:rsidRPr="00F73915">
        <w:rPr>
          <w:rFonts w:cs="Arial"/>
          <w:noProof/>
          <w:sz w:val="18"/>
          <w:szCs w:val="24"/>
        </w:rPr>
        <w:t>: An Indicator of Prehypertension</w:t>
      </w:r>
      <w:r w:rsidRPr="00F73915">
        <w:rPr>
          <w:rFonts w:ascii="Arial" w:hAnsi="Arial" w:cs="Arial"/>
          <w:noProof/>
          <w:sz w:val="18"/>
          <w:szCs w:val="24"/>
        </w:rPr>
        <w:t> </w:t>
      </w:r>
      <w:r w:rsidRPr="00F73915">
        <w:rPr>
          <w:rFonts w:cs="Arial"/>
          <w:noProof/>
          <w:sz w:val="18"/>
          <w:szCs w:val="24"/>
        </w:rPr>
        <w:t>?</w:t>
      </w:r>
      <w:r w:rsidRPr="00F73915">
        <w:rPr>
          <w:noProof/>
          <w:sz w:val="18"/>
          <w:szCs w:val="24"/>
        </w:rPr>
        <w:t>”</w:t>
      </w:r>
      <w:r w:rsidRPr="00F73915">
        <w:rPr>
          <w:rFonts w:cs="Arial"/>
          <w:noProof/>
          <w:sz w:val="18"/>
          <w:szCs w:val="24"/>
        </w:rPr>
        <w:t xml:space="preserve"> 1573</w:t>
      </w:r>
      <w:r w:rsidRPr="00F73915">
        <w:rPr>
          <w:noProof/>
          <w:sz w:val="18"/>
          <w:szCs w:val="24"/>
        </w:rPr>
        <w:t>–</w:t>
      </w:r>
      <w:r w:rsidRPr="00F73915">
        <w:rPr>
          <w:rFonts w:cs="Arial"/>
          <w:noProof/>
          <w:sz w:val="18"/>
          <w:szCs w:val="24"/>
        </w:rPr>
        <w:t>75.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Kario, Kazuomi. 2010. “Morning Surge in Blood Pressure and Cardiovascular Risk: Evidence and Perspectives.” </w:t>
      </w:r>
      <w:r w:rsidRPr="00F73915">
        <w:rPr>
          <w:rFonts w:cs="Arial"/>
          <w:i/>
          <w:iCs/>
          <w:noProof/>
          <w:sz w:val="18"/>
          <w:szCs w:val="24"/>
        </w:rPr>
        <w:t>Hypertension</w:t>
      </w:r>
      <w:r w:rsidRPr="00F73915">
        <w:rPr>
          <w:rFonts w:cs="Arial"/>
          <w:noProof/>
          <w:sz w:val="18"/>
          <w:szCs w:val="24"/>
        </w:rPr>
        <w:t xml:space="preserve"> 56(5):765–73.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Kario, Kazuomi et al. 2011. “Additional Impact of Morning Haemostatic Risk Factors and Morning Blood Pressure Surge on Stroke Risk in Older Japanese Hypertensive Patients.” </w:t>
      </w:r>
      <w:r w:rsidRPr="00F73915">
        <w:rPr>
          <w:rFonts w:cs="Arial"/>
          <w:i/>
          <w:iCs/>
          <w:noProof/>
          <w:sz w:val="18"/>
          <w:szCs w:val="24"/>
        </w:rPr>
        <w:t>European Heart Journal</w:t>
      </w:r>
      <w:r w:rsidRPr="00F73915">
        <w:rPr>
          <w:rFonts w:cs="Arial"/>
          <w:noProof/>
          <w:sz w:val="18"/>
          <w:szCs w:val="24"/>
        </w:rPr>
        <w:t xml:space="preserve"> 32(5):574–80.</w:t>
      </w:r>
    </w:p>
    <w:p w:rsid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Kario, Kazuomi et al. 2015. “Sleep Blood Pressure Self-Measured at Home as a Novel Determinant of Organ Damage: Japan Morning Surge Home Blood Pressure (J-HOP) Study.” </w:t>
      </w:r>
      <w:r w:rsidRPr="00F73915">
        <w:rPr>
          <w:rFonts w:cs="Arial"/>
          <w:i/>
          <w:iCs/>
          <w:noProof/>
          <w:sz w:val="18"/>
          <w:szCs w:val="24"/>
        </w:rPr>
        <w:t>Journal of Clinical Hypertension</w:t>
      </w:r>
      <w:r w:rsidRPr="00F73915">
        <w:rPr>
          <w:rFonts w:cs="Arial"/>
          <w:noProof/>
          <w:sz w:val="18"/>
          <w:szCs w:val="24"/>
        </w:rPr>
        <w:t xml:space="preserve"> 17(5):340–48.</w:t>
      </w:r>
    </w:p>
    <w:p w:rsidR="007033E4" w:rsidRDefault="007033E4" w:rsidP="007033E4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7033E4" w:rsidRDefault="007033E4" w:rsidP="007033E4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7033E4" w:rsidRDefault="007033E4" w:rsidP="007033E4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7033E4" w:rsidRDefault="007033E4" w:rsidP="007033E4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7033E4" w:rsidRPr="00F73915" w:rsidRDefault="007033E4" w:rsidP="007033E4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F73915" w:rsidRPr="007033E4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7033E4">
        <w:rPr>
          <w:rFonts w:cs="Arial"/>
          <w:noProof/>
          <w:sz w:val="18"/>
          <w:szCs w:val="24"/>
        </w:rPr>
        <w:lastRenderedPageBreak/>
        <w:t xml:space="preserve">Lee, Dong Hyeon et al. 2009. “Age Is an Independent Risk Factor for the Early Morning Blood Pressure Surge in Patients Never-Treated for Hypertension.” </w:t>
      </w:r>
      <w:r w:rsidRPr="007033E4">
        <w:rPr>
          <w:rFonts w:cs="Arial"/>
          <w:i/>
          <w:iCs/>
          <w:noProof/>
          <w:sz w:val="18"/>
          <w:szCs w:val="24"/>
        </w:rPr>
        <w:t>Korean Circulation Journal</w:t>
      </w:r>
      <w:r w:rsidRPr="007033E4">
        <w:rPr>
          <w:rFonts w:cs="Arial"/>
          <w:noProof/>
          <w:sz w:val="18"/>
          <w:szCs w:val="24"/>
        </w:rPr>
        <w:t xml:space="preserve"> 39(8):322–27.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Mancia, G. and G. Parati. 2000. “Ambulatory Blood Pressure Monitoring and Organ Damage.” </w:t>
      </w:r>
      <w:r w:rsidRPr="00F73915">
        <w:rPr>
          <w:rFonts w:cs="Arial"/>
          <w:i/>
          <w:iCs/>
          <w:noProof/>
          <w:sz w:val="18"/>
          <w:szCs w:val="24"/>
        </w:rPr>
        <w:t>Hypertension</w:t>
      </w:r>
      <w:r w:rsidRPr="00F73915">
        <w:rPr>
          <w:rFonts w:cs="Arial"/>
          <w:noProof/>
          <w:sz w:val="18"/>
          <w:szCs w:val="24"/>
        </w:rPr>
        <w:t xml:space="preserve"> 36(5):894–900.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Minh, H. Van, P. Byass, N. T. K. Chuc, and S. Wall. 2006. “Gender Differences in Prevalence and Socioeconomic Determinants of Hypertension: Findings from the WHO STEPs Survey in a Rural Community of Vietnam.” </w:t>
      </w:r>
      <w:r w:rsidRPr="00F73915">
        <w:rPr>
          <w:rFonts w:cs="Arial"/>
          <w:i/>
          <w:iCs/>
          <w:noProof/>
          <w:sz w:val="18"/>
          <w:szCs w:val="24"/>
        </w:rPr>
        <w:t>Journal of Human Hypertension</w:t>
      </w:r>
      <w:r w:rsidRPr="00F73915">
        <w:rPr>
          <w:rFonts w:cs="Arial"/>
          <w:noProof/>
          <w:sz w:val="18"/>
          <w:szCs w:val="24"/>
        </w:rPr>
        <w:t xml:space="preserve"> 20(2):109–15.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Neutel, J. M., H. Schumacher, P. Gosse, Y. Lacourcière, and B. Williams. 2008. “Magnitude of the Early Morning Blood Pressure Surge in Untreated Hypertensive Patients: A Pooled Analysis.” </w:t>
      </w:r>
      <w:r w:rsidRPr="00F73915">
        <w:rPr>
          <w:rFonts w:cs="Arial"/>
          <w:i/>
          <w:iCs/>
          <w:noProof/>
          <w:sz w:val="18"/>
          <w:szCs w:val="24"/>
        </w:rPr>
        <w:t>International Journal of Clinical Practice</w:t>
      </w:r>
      <w:r w:rsidRPr="00F73915">
        <w:rPr>
          <w:rFonts w:cs="Arial"/>
          <w:noProof/>
          <w:sz w:val="18"/>
          <w:szCs w:val="24"/>
        </w:rPr>
        <w:t xml:space="preserve"> 62(11):1654–63.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O’Brien, E. .. et al. 2013. “European Society of Hypertension Position Paper on Ambulatory Blood Pressure Monitoring.” </w:t>
      </w:r>
      <w:r w:rsidRPr="00F73915">
        <w:rPr>
          <w:rFonts w:cs="Arial"/>
          <w:i/>
          <w:iCs/>
          <w:noProof/>
          <w:sz w:val="18"/>
          <w:szCs w:val="24"/>
        </w:rPr>
        <w:t>Journal of Hypertension</w:t>
      </w:r>
      <w:r w:rsidRPr="00F73915">
        <w:rPr>
          <w:rFonts w:cs="Arial"/>
          <w:noProof/>
          <w:sz w:val="18"/>
          <w:szCs w:val="24"/>
        </w:rPr>
        <w:t xml:space="preserve"> 31(9):1731–68. 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Ohkubo, T. et al. 1998. “Reference Values for 24-Hour Ambulatory Blood Pressure Monitoring Based on a Prognostic Criterion: The Ohasama Study.” </w:t>
      </w:r>
      <w:r w:rsidRPr="00F73915">
        <w:rPr>
          <w:rFonts w:cs="Arial"/>
          <w:i/>
          <w:iCs/>
          <w:noProof/>
          <w:sz w:val="18"/>
          <w:szCs w:val="24"/>
        </w:rPr>
        <w:t>Hypertension</w:t>
      </w:r>
      <w:r w:rsidRPr="00F73915">
        <w:rPr>
          <w:rFonts w:cs="Arial"/>
          <w:noProof/>
          <w:sz w:val="18"/>
          <w:szCs w:val="24"/>
        </w:rPr>
        <w:t xml:space="preserve"> 32:255–59.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Palatini, Paolo and Guido Grassi. 2011. “The Morning Blood Pressure Surge: A Dynamic and Challenging Concept.” </w:t>
      </w:r>
      <w:r w:rsidRPr="00F73915">
        <w:rPr>
          <w:rFonts w:cs="Arial"/>
          <w:i/>
          <w:iCs/>
          <w:noProof/>
          <w:sz w:val="18"/>
          <w:szCs w:val="24"/>
        </w:rPr>
        <w:t>Journal of Hypertension</w:t>
      </w:r>
      <w:r w:rsidRPr="00F73915">
        <w:rPr>
          <w:rFonts w:cs="Arial"/>
          <w:noProof/>
          <w:sz w:val="18"/>
          <w:szCs w:val="24"/>
        </w:rPr>
        <w:t xml:space="preserve"> 29(12):2316–19.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Pasic, Jagoda, David Shapiro, Sarosh Motivala, and Ka Kit Hui. 1998. “Blood Pressure Morning Surge and Hostility.” </w:t>
      </w:r>
      <w:r w:rsidRPr="00F73915">
        <w:rPr>
          <w:rFonts w:cs="Arial"/>
          <w:i/>
          <w:iCs/>
          <w:noProof/>
          <w:sz w:val="18"/>
          <w:szCs w:val="24"/>
        </w:rPr>
        <w:t>American Journal of Hypertension</w:t>
      </w:r>
      <w:r w:rsidRPr="00F73915">
        <w:rPr>
          <w:rFonts w:cs="Arial"/>
          <w:noProof/>
          <w:sz w:val="18"/>
          <w:szCs w:val="24"/>
        </w:rPr>
        <w:t xml:space="preserve"> 11(2):245–50.</w:t>
      </w:r>
    </w:p>
    <w:p w:rsid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Pinto, Elisabete. 2007. “Blood Pressure and Ageing.” </w:t>
      </w:r>
      <w:r w:rsidRPr="00F73915">
        <w:rPr>
          <w:rFonts w:cs="Arial"/>
          <w:i/>
          <w:iCs/>
          <w:noProof/>
          <w:sz w:val="18"/>
          <w:szCs w:val="24"/>
        </w:rPr>
        <w:t>Postgraduate Medical Journal</w:t>
      </w:r>
      <w:r w:rsidRPr="00F73915">
        <w:rPr>
          <w:rFonts w:cs="Arial"/>
          <w:noProof/>
          <w:sz w:val="18"/>
          <w:szCs w:val="24"/>
        </w:rPr>
        <w:t xml:space="preserve"> 83(976):109–14.</w:t>
      </w: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C1CBF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>
        <w:rPr>
          <w:rFonts w:ascii="Calibri"/>
          <w:noProof/>
          <w:sz w:val="4"/>
          <w:lang w:val="en-PH" w:eastAsia="en-PH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ACAE48F" wp14:editId="34AF224F">
                <wp:simplePos x="0" y="0"/>
                <wp:positionH relativeFrom="column">
                  <wp:posOffset>1488440</wp:posOffset>
                </wp:positionH>
                <wp:positionV relativeFrom="paragraph">
                  <wp:posOffset>22225</wp:posOffset>
                </wp:positionV>
                <wp:extent cx="3975735" cy="25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21424" y="0"/>
                    <wp:lineTo x="21424" y="0"/>
                    <wp:lineTo x="0" y="0"/>
                  </wp:wrapPolygon>
                </wp:wrapThrough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17.2pt;margin-top:1.75pt;width:313.05pt;height:2pt;z-index:-251657216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type="through"/>
              </v:group>
            </w:pict>
          </mc:Fallback>
        </mc:AlternateContent>
      </w:r>
      <w:r w:rsidR="001806F3" w:rsidRPr="001806F3">
        <w:rPr>
          <w:rFonts w:cs="Arial"/>
          <w:noProof/>
          <w:sz w:val="18"/>
          <w:szCs w:val="24"/>
          <w:lang w:val="en-PH" w:eastAsia="en-P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C3FACE" wp14:editId="22797CF7">
                <wp:simplePos x="0" y="0"/>
                <wp:positionH relativeFrom="column">
                  <wp:posOffset>152400</wp:posOffset>
                </wp:positionH>
                <wp:positionV relativeFrom="paragraph">
                  <wp:posOffset>109855</wp:posOffset>
                </wp:positionV>
                <wp:extent cx="6568440" cy="1403985"/>
                <wp:effectExtent l="0" t="0" r="0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06F3" w:rsidRDefault="001806F3" w:rsidP="001806F3">
                            <w:pPr>
                              <w:spacing w:before="92"/>
                              <w:ind w:right="4234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22612D">
                              <w:rPr>
                                <w:noProof/>
                                <w:lang w:val="en-PH" w:eastAsia="en-PH"/>
                              </w:rPr>
                              <w:drawing>
                                <wp:inline distT="0" distB="0" distL="0" distR="0" wp14:anchorId="3CA0155B" wp14:editId="646018E0">
                                  <wp:extent cx="797356" cy="823358"/>
                                  <wp:effectExtent l="0" t="0" r="3175" b="0"/>
                                  <wp:docPr id="16" name="Picture 16" descr="F:\My Pictures\Fellow Pictorial 2016\DSC_007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F:\My Pictures\Fellow Pictorial 2016\DSC_007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1929" t="23250" r="67508" b="603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020" cy="8261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BF5A14"/>
                              </w:rPr>
                              <w:t>Biography</w:t>
                            </w:r>
                          </w:p>
                          <w:p w:rsidR="001806F3" w:rsidRDefault="0022612D" w:rsidP="001806F3">
                            <w:pPr>
                              <w:spacing w:before="41" w:line="154" w:lineRule="exact"/>
                              <w:ind w:left="213" w:right="231"/>
                              <w:jc w:val="both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sz w:val="14"/>
                              </w:rPr>
                              <w:t>Dr. Jason S. Santos,</w:t>
                            </w:r>
                            <w:r w:rsidR="00DE54ED">
                              <w:rPr>
                                <w:rFonts w:ascii="Arial"/>
                                <w:sz w:val="14"/>
                              </w:rPr>
                              <w:t xml:space="preserve"> is on his 3</w:t>
                            </w:r>
                            <w:r w:rsidR="00DE54ED" w:rsidRPr="00DE54ED">
                              <w:rPr>
                                <w:rFonts w:ascii="Arial"/>
                                <w:sz w:val="14"/>
                                <w:vertAlign w:val="superscript"/>
                              </w:rPr>
                              <w:t>rd</w:t>
                            </w:r>
                            <w:r w:rsidR="00DE54ED">
                              <w:rPr>
                                <w:rFonts w:ascii="Arial"/>
                                <w:sz w:val="14"/>
                              </w:rPr>
                              <w:t xml:space="preserve"> year of Fellowship Training in Cardiology at the University 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 xml:space="preserve">of Santos Tomas Hospital and is </w:t>
                            </w:r>
                            <w:r w:rsidR="001C1CBF">
                              <w:rPr>
                                <w:rFonts w:ascii="Arial"/>
                                <w:sz w:val="14"/>
                              </w:rPr>
                              <w:t>currently the Chief Fellow. He completed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 xml:space="preserve"> his Residency training in Internal Medicine and Post-Graduate Internship at the Chinese General Hospital and Medical Center</w:t>
                            </w:r>
                            <w:r w:rsidR="001C1CBF">
                              <w:rPr>
                                <w:rFonts w:ascii="Arial"/>
                                <w:sz w:val="14"/>
                              </w:rPr>
                              <w:t xml:space="preserve"> and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 xml:space="preserve"> </w:t>
                            </w:r>
                            <w:r w:rsidR="001C1CBF">
                              <w:rPr>
                                <w:rFonts w:ascii="Arial"/>
                                <w:sz w:val="14"/>
                              </w:rPr>
                              <w:t>had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 xml:space="preserve"> his degree in Medicine at the Royal Pontifical University of Santo Tomas, Faculty of Medicine and Surgery</w:t>
                            </w:r>
                            <w:r w:rsidR="001C1CBF">
                              <w:rPr>
                                <w:rFonts w:ascii="Arial"/>
                                <w:sz w:val="14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:rsidR="001806F3" w:rsidRDefault="00FE47C4" w:rsidP="00FE47C4">
                            <w:pPr>
                              <w:spacing w:before="62"/>
                              <w:ind w:left="3497" w:right="4235" w:firstLine="103"/>
                              <w:jc w:val="center"/>
                              <w:rPr>
                                <w:rStyle w:val="Hyperlink"/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sz w:val="14"/>
                              </w:rPr>
                              <w:t xml:space="preserve">E-mail: </w:t>
                            </w:r>
                            <w:hyperlink r:id="rId12" w:history="1">
                              <w:r w:rsidRPr="00E67A7B">
                                <w:rPr>
                                  <w:rStyle w:val="Hyperlink"/>
                                  <w:rFonts w:ascii="Arial"/>
                                  <w:sz w:val="14"/>
                                </w:rPr>
                                <w:t>brod_jay@hotmail.com</w:t>
                              </w:r>
                            </w:hyperlink>
                          </w:p>
                          <w:p w:rsidR="001806F3" w:rsidRDefault="00FE47C4" w:rsidP="00FE47C4">
                            <w:pPr>
                              <w:spacing w:before="62"/>
                              <w:ind w:left="3600" w:right="4235"/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</w:pPr>
                            <w:r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  <w:t xml:space="preserve">   </w:t>
                            </w:r>
                            <w:r w:rsidR="001806F3" w:rsidRPr="00827B1F"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  <w:t xml:space="preserve">Phone: </w:t>
                            </w:r>
                            <w:r w:rsidR="001806F3"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  <w:t>+</w:t>
                            </w:r>
                            <w:r w:rsidR="001806F3"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  <w:t>632-922-9106068</w:t>
                            </w:r>
                          </w:p>
                          <w:p w:rsidR="001C1CBF" w:rsidRDefault="001C1CBF" w:rsidP="00FE47C4">
                            <w:pPr>
                              <w:spacing w:before="62"/>
                              <w:ind w:left="3600" w:right="4235"/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</w:pPr>
                          </w:p>
                          <w:p w:rsidR="001C1CBF" w:rsidRDefault="001C1CBF" w:rsidP="00FE47C4">
                            <w:pPr>
                              <w:spacing w:before="62"/>
                              <w:ind w:left="3600" w:right="4235"/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</w:pPr>
                          </w:p>
                          <w:p w:rsidR="001C1CBF" w:rsidRDefault="001C1CBF" w:rsidP="00FE47C4">
                            <w:pPr>
                              <w:spacing w:before="62"/>
                              <w:ind w:left="3600" w:right="4235"/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</w:pPr>
                          </w:p>
                          <w:p w:rsidR="001C1CBF" w:rsidRDefault="001C1CBF" w:rsidP="00FE47C4">
                            <w:pPr>
                              <w:spacing w:before="62"/>
                              <w:ind w:left="3600" w:right="4235"/>
                              <w:rPr>
                                <w:rStyle w:val="Hyperlink"/>
                                <w:rFonts w:ascii="Arial"/>
                                <w:color w:val="auto"/>
                                <w:sz w:val="14"/>
                                <w:u w:val="none"/>
                              </w:rPr>
                            </w:pPr>
                          </w:p>
                          <w:p w:rsidR="001C1CBF" w:rsidRPr="00B21A57" w:rsidRDefault="001C1CBF" w:rsidP="001C1CBF">
                            <w:pPr>
                              <w:spacing w:before="39"/>
                              <w:ind w:left="100"/>
                              <w:rPr>
                                <w:rFonts w:ascii="Minion Pro"/>
                                <w:b/>
                                <w:sz w:val="20"/>
                              </w:rPr>
                            </w:pPr>
                            <w:r w:rsidRPr="00B21A57">
                              <w:rPr>
                                <w:rFonts w:ascii="Minion Pro"/>
                                <w:b/>
                                <w:sz w:val="20"/>
                              </w:rPr>
                              <w:t>Notes/Comments:</w:t>
                            </w:r>
                          </w:p>
                          <w:p w:rsidR="001806F3" w:rsidRDefault="001806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pt;margin-top:8.65pt;width:517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" filled="f" stroked="f">
                <v:textbox style="mso-fit-shape-to-text:t">
                  <w:txbxContent>
                    <w:p w:rsidR="001806F3" w:rsidRDefault="001806F3" w:rsidP="001806F3">
                      <w:pPr>
                        <w:spacing w:before="92"/>
                        <w:ind w:right="4234"/>
                        <w:rPr>
                          <w:rFonts w:ascii="Arial"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22612D">
                        <w:rPr>
                          <w:noProof/>
                          <w:lang w:val="en-PH" w:eastAsia="en-PH"/>
                        </w:rPr>
                        <w:drawing>
                          <wp:inline distT="0" distB="0" distL="0" distR="0" wp14:anchorId="3CA0155B" wp14:editId="646018E0">
                            <wp:extent cx="797356" cy="823358"/>
                            <wp:effectExtent l="0" t="0" r="3175" b="0"/>
                            <wp:docPr id="16" name="Picture 16" descr="F:\My Pictures\Fellow Pictorial 2016\DSC_007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F:\My Pictures\Fellow Pictorial 2016\DSC_007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1929" t="23250" r="67508" b="603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00020" cy="8261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BF5A14"/>
                        </w:rPr>
                        <w:t>Biography</w:t>
                      </w:r>
                    </w:p>
                    <w:p w:rsidR="001806F3" w:rsidRDefault="0022612D" w:rsidP="001806F3">
                      <w:pPr>
                        <w:spacing w:before="41" w:line="154" w:lineRule="exact"/>
                        <w:ind w:left="213" w:right="231"/>
                        <w:jc w:val="both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Dr. Jason S. Santos,</w:t>
                      </w:r>
                      <w:r w:rsidR="00DE54ED">
                        <w:rPr>
                          <w:rFonts w:ascii="Arial"/>
                          <w:sz w:val="14"/>
                        </w:rPr>
                        <w:t xml:space="preserve"> is on his 3</w:t>
                      </w:r>
                      <w:r w:rsidR="00DE54ED" w:rsidRPr="00DE54ED">
                        <w:rPr>
                          <w:rFonts w:ascii="Arial"/>
                          <w:sz w:val="14"/>
                          <w:vertAlign w:val="superscript"/>
                        </w:rPr>
                        <w:t>rd</w:t>
                      </w:r>
                      <w:r w:rsidR="00DE54ED">
                        <w:rPr>
                          <w:rFonts w:ascii="Arial"/>
                          <w:sz w:val="14"/>
                        </w:rPr>
                        <w:t xml:space="preserve"> year of Fellowship Training in Cardiology at the University </w:t>
                      </w:r>
                      <w:r>
                        <w:rPr>
                          <w:rFonts w:ascii="Arial"/>
                          <w:sz w:val="14"/>
                        </w:rPr>
                        <w:t xml:space="preserve">of Santos Tomas Hospital and is </w:t>
                      </w:r>
                      <w:r w:rsidR="001C1CBF">
                        <w:rPr>
                          <w:rFonts w:ascii="Arial"/>
                          <w:sz w:val="14"/>
                        </w:rPr>
                        <w:t>currently the Chief Fellow. He completed</w:t>
                      </w:r>
                      <w:r>
                        <w:rPr>
                          <w:rFonts w:ascii="Arial"/>
                          <w:sz w:val="14"/>
                        </w:rPr>
                        <w:t xml:space="preserve"> his Residency training in Internal Medicine and Post-Graduate Internship at the Chinese General Hospital and Medical Center</w:t>
                      </w:r>
                      <w:r w:rsidR="001C1CBF">
                        <w:rPr>
                          <w:rFonts w:ascii="Arial"/>
                          <w:sz w:val="14"/>
                        </w:rPr>
                        <w:t xml:space="preserve"> and</w:t>
                      </w:r>
                      <w:r>
                        <w:rPr>
                          <w:rFonts w:ascii="Arial"/>
                          <w:sz w:val="14"/>
                        </w:rPr>
                        <w:t xml:space="preserve"> </w:t>
                      </w:r>
                      <w:r w:rsidR="001C1CBF">
                        <w:rPr>
                          <w:rFonts w:ascii="Arial"/>
                          <w:sz w:val="14"/>
                        </w:rPr>
                        <w:t>had</w:t>
                      </w:r>
                      <w:r>
                        <w:rPr>
                          <w:rFonts w:ascii="Arial"/>
                          <w:sz w:val="14"/>
                        </w:rPr>
                        <w:t xml:space="preserve"> his degree in Medicine at the Royal Pontifical University of Santo Tomas, Faculty of Medicine and Surgery</w:t>
                      </w:r>
                      <w:r w:rsidR="001C1CBF">
                        <w:rPr>
                          <w:rFonts w:ascii="Arial"/>
                          <w:sz w:val="14"/>
                        </w:rPr>
                        <w:t>.</w:t>
                      </w:r>
                      <w:bookmarkStart w:id="1" w:name="_GoBack"/>
                      <w:bookmarkEnd w:id="1"/>
                    </w:p>
                    <w:p w:rsidR="001806F3" w:rsidRDefault="00FE47C4" w:rsidP="00FE47C4">
                      <w:pPr>
                        <w:spacing w:before="62"/>
                        <w:ind w:left="3497" w:right="4235" w:firstLine="103"/>
                        <w:jc w:val="center"/>
                        <w:rPr>
                          <w:rStyle w:val="Hyperlink"/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 xml:space="preserve">E-mail: </w:t>
                      </w:r>
                      <w:hyperlink r:id="rId13" w:history="1">
                        <w:r w:rsidRPr="00E67A7B">
                          <w:rPr>
                            <w:rStyle w:val="Hyperlink"/>
                            <w:rFonts w:ascii="Arial"/>
                            <w:sz w:val="14"/>
                          </w:rPr>
                          <w:t>brod_jay@hotmail.com</w:t>
                        </w:r>
                      </w:hyperlink>
                    </w:p>
                    <w:p w:rsidR="001806F3" w:rsidRDefault="00FE47C4" w:rsidP="00FE47C4">
                      <w:pPr>
                        <w:spacing w:before="62"/>
                        <w:ind w:left="3600" w:right="4235"/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</w:pPr>
                      <w:r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  <w:t xml:space="preserve">   </w:t>
                      </w:r>
                      <w:r w:rsidR="001806F3" w:rsidRPr="00827B1F"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  <w:t xml:space="preserve">Phone: </w:t>
                      </w:r>
                      <w:r w:rsidR="001806F3"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  <w:t>+</w:t>
                      </w:r>
                      <w:r w:rsidR="001806F3"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  <w:t>632-922-9106068</w:t>
                      </w:r>
                    </w:p>
                    <w:p w:rsidR="001C1CBF" w:rsidRDefault="001C1CBF" w:rsidP="00FE47C4">
                      <w:pPr>
                        <w:spacing w:before="62"/>
                        <w:ind w:left="3600" w:right="4235"/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</w:pPr>
                    </w:p>
                    <w:p w:rsidR="001C1CBF" w:rsidRDefault="001C1CBF" w:rsidP="00FE47C4">
                      <w:pPr>
                        <w:spacing w:before="62"/>
                        <w:ind w:left="3600" w:right="4235"/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</w:pPr>
                    </w:p>
                    <w:p w:rsidR="001C1CBF" w:rsidRDefault="001C1CBF" w:rsidP="00FE47C4">
                      <w:pPr>
                        <w:spacing w:before="62"/>
                        <w:ind w:left="3600" w:right="4235"/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</w:pPr>
                    </w:p>
                    <w:p w:rsidR="001C1CBF" w:rsidRDefault="001C1CBF" w:rsidP="00FE47C4">
                      <w:pPr>
                        <w:spacing w:before="62"/>
                        <w:ind w:left="3600" w:right="4235"/>
                        <w:rPr>
                          <w:rStyle w:val="Hyperlink"/>
                          <w:rFonts w:ascii="Arial"/>
                          <w:color w:val="auto"/>
                          <w:sz w:val="14"/>
                          <w:u w:val="none"/>
                        </w:rPr>
                      </w:pPr>
                    </w:p>
                    <w:p w:rsidR="001C1CBF" w:rsidRPr="00B21A57" w:rsidRDefault="001C1CBF" w:rsidP="001C1CBF">
                      <w:pPr>
                        <w:spacing w:before="39"/>
                        <w:ind w:left="100"/>
                        <w:rPr>
                          <w:rFonts w:ascii="Minion Pro"/>
                          <w:b/>
                          <w:sz w:val="20"/>
                        </w:rPr>
                      </w:pPr>
                      <w:r w:rsidRPr="00B21A57">
                        <w:rPr>
                          <w:rFonts w:ascii="Minion Pro"/>
                          <w:b/>
                          <w:sz w:val="20"/>
                        </w:rPr>
                        <w:t>Notes/Comments:</w:t>
                      </w:r>
                    </w:p>
                    <w:p w:rsidR="001806F3" w:rsidRDefault="001806F3"/>
                  </w:txbxContent>
                </v:textbox>
              </v:shape>
            </w:pict>
          </mc:Fallback>
        </mc:AlternateContent>
      </w: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C1CBF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9BBD830" wp14:editId="266175B7">
                <wp:simplePos x="0" y="0"/>
                <wp:positionH relativeFrom="page">
                  <wp:posOffset>2204085</wp:posOffset>
                </wp:positionH>
                <wp:positionV relativeFrom="paragraph">
                  <wp:posOffset>62230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3.55pt,4.9pt" to="444.6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806F3" w:rsidRDefault="001806F3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1C1CBF" w:rsidRPr="00F73915" w:rsidRDefault="001C1CBF" w:rsidP="001806F3">
      <w:p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lastRenderedPageBreak/>
        <w:t xml:space="preserve">Pipo, M. M. Q., M. A. Lelis, and J. Q. Javelona. 2015. “Antihypertensive Management of High-Risk Patients in the Philippines.” </w:t>
      </w:r>
      <w:r w:rsidRPr="00F73915">
        <w:rPr>
          <w:rFonts w:cs="Arial"/>
          <w:i/>
          <w:iCs/>
          <w:noProof/>
          <w:sz w:val="18"/>
          <w:szCs w:val="24"/>
        </w:rPr>
        <w:t>Philippine J Intern Med</w:t>
      </w:r>
      <w:r w:rsidRPr="00F73915">
        <w:rPr>
          <w:rFonts w:cs="Arial"/>
          <w:noProof/>
          <w:sz w:val="18"/>
          <w:szCs w:val="24"/>
        </w:rPr>
        <w:t xml:space="preserve"> 53(3):1–8.</w:t>
      </w:r>
    </w:p>
    <w:p w:rsidR="007033E4" w:rsidRPr="001806F3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1806F3">
        <w:rPr>
          <w:rFonts w:cs="Arial"/>
          <w:noProof/>
          <w:sz w:val="18"/>
          <w:szCs w:val="24"/>
        </w:rPr>
        <w:t xml:space="preserve">Reckelhoff, J. F. 2001. “Gender Differences in the Regulation of Blood Pressure.” </w:t>
      </w:r>
      <w:r w:rsidRPr="001806F3">
        <w:rPr>
          <w:rFonts w:cs="Arial"/>
          <w:i/>
          <w:iCs/>
          <w:noProof/>
          <w:sz w:val="18"/>
          <w:szCs w:val="24"/>
        </w:rPr>
        <w:t>Hypertension</w:t>
      </w:r>
      <w:r w:rsidRPr="001806F3">
        <w:rPr>
          <w:rFonts w:cs="Arial"/>
          <w:noProof/>
          <w:sz w:val="18"/>
          <w:szCs w:val="24"/>
        </w:rPr>
        <w:t xml:space="preserve"> 37:1199–1208.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Sheppard, James Peter et al. 2015. “Prognostic Significance of the Morning Blood Pressure Surge in Clinical Practice: A Systematic Review.” </w:t>
      </w:r>
      <w:r w:rsidRPr="00F73915">
        <w:rPr>
          <w:rFonts w:cs="Arial"/>
          <w:i/>
          <w:iCs/>
          <w:noProof/>
          <w:sz w:val="18"/>
          <w:szCs w:val="24"/>
        </w:rPr>
        <w:t>American Journal of Hypertension</w:t>
      </w:r>
      <w:r w:rsidRPr="00F73915">
        <w:rPr>
          <w:rFonts w:cs="Arial"/>
          <w:noProof/>
          <w:sz w:val="18"/>
          <w:szCs w:val="24"/>
        </w:rPr>
        <w:t xml:space="preserve"> 28(1):30–41.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>Sison, Jorge et al. 2007. “Philippine Heart Association-Council on Hypertension Report on Survey of Hypertension and Target Organ Damage ( PRESYON 2-TOD *) A Report on Prevalence of Hypertension , Awareness , Treatment Profile and Control Rate RESULTS.” 2–3.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Sun, Ningling, Yang Xi, Shan Jing, and Xining Lu. 2009. “Morning Blood Pressure Surge Varies with Age and Gender in Hypertensive Individuals.” </w:t>
      </w:r>
      <w:r w:rsidRPr="00F73915">
        <w:rPr>
          <w:rFonts w:cs="Arial"/>
          <w:i/>
          <w:iCs/>
          <w:noProof/>
          <w:sz w:val="18"/>
          <w:szCs w:val="24"/>
        </w:rPr>
        <w:t>International Journal of Cardiology</w:t>
      </w:r>
      <w:r w:rsidRPr="00F73915">
        <w:rPr>
          <w:rFonts w:cs="Arial"/>
          <w:noProof/>
          <w:sz w:val="18"/>
          <w:szCs w:val="24"/>
        </w:rPr>
        <w:t xml:space="preserve"> 135(2):272–73.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Suzuki, Y. et al. 1993. “The Relation between Blood Pressure Variation and Daily Physical Activity in Early Morning Surge in Blood Pressure].” </w:t>
      </w:r>
      <w:r w:rsidRPr="00F73915">
        <w:rPr>
          <w:rFonts w:cs="Arial"/>
          <w:i/>
          <w:iCs/>
          <w:noProof/>
          <w:sz w:val="18"/>
          <w:szCs w:val="24"/>
        </w:rPr>
        <w:t>Nihon Ronen Igakkai Zasshi.Japanese Journal Of Geriatrics</w:t>
      </w:r>
      <w:r w:rsidRPr="00F73915">
        <w:rPr>
          <w:rFonts w:cs="Arial"/>
          <w:noProof/>
          <w:sz w:val="18"/>
          <w:szCs w:val="24"/>
        </w:rPr>
        <w:t xml:space="preserve"> 30(10):841–48. Retrieved 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Tomii, Yasuhiro et al. 2011. “Effects of 24-Hour Blood Pressure and Heart Rate Recorded with Ambulatory Blood Pressure Monitoring on Recovery from Acute Ischemic Stroke.” </w:t>
      </w:r>
      <w:r w:rsidRPr="00F73915">
        <w:rPr>
          <w:rFonts w:cs="Arial"/>
          <w:i/>
          <w:iCs/>
          <w:noProof/>
          <w:sz w:val="18"/>
          <w:szCs w:val="24"/>
        </w:rPr>
        <w:t>Stroke</w:t>
      </w:r>
      <w:r w:rsidRPr="00F73915">
        <w:rPr>
          <w:rFonts w:cs="Arial"/>
          <w:noProof/>
          <w:sz w:val="18"/>
          <w:szCs w:val="24"/>
        </w:rPr>
        <w:t xml:space="preserve"> 42(12):3511–17.</w:t>
      </w:r>
    </w:p>
    <w:p w:rsidR="00F73915" w:rsidRPr="00F73915" w:rsidRDefault="00F73915" w:rsidP="007033E4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  <w:szCs w:val="24"/>
        </w:rPr>
      </w:pPr>
      <w:r w:rsidRPr="00F73915">
        <w:rPr>
          <w:rFonts w:cs="Arial"/>
          <w:noProof/>
          <w:sz w:val="18"/>
          <w:szCs w:val="24"/>
        </w:rPr>
        <w:t xml:space="preserve">Tseng, Y. Z. 2006. “Applications of 24-Hour Noninvasive Ambulatory Blood Pressure Monitoring.” </w:t>
      </w:r>
      <w:r w:rsidRPr="00F73915">
        <w:rPr>
          <w:rFonts w:cs="Arial"/>
          <w:i/>
          <w:iCs/>
          <w:noProof/>
          <w:sz w:val="18"/>
          <w:szCs w:val="24"/>
        </w:rPr>
        <w:t>Journal of the Formosan Medical Association</w:t>
      </w:r>
      <w:r w:rsidRPr="00F73915">
        <w:rPr>
          <w:rFonts w:cs="Arial"/>
          <w:noProof/>
          <w:sz w:val="18"/>
          <w:szCs w:val="24"/>
        </w:rPr>
        <w:t xml:space="preserve"> 105(12):955–63.</w:t>
      </w:r>
    </w:p>
    <w:p w:rsidR="001806F3" w:rsidRPr="001806F3" w:rsidRDefault="00F73915" w:rsidP="001806F3">
      <w:pPr>
        <w:numPr>
          <w:ilvl w:val="0"/>
          <w:numId w:val="4"/>
        </w:numPr>
        <w:autoSpaceDE w:val="0"/>
        <w:autoSpaceDN w:val="0"/>
        <w:adjustRightInd w:val="0"/>
        <w:spacing w:after="120"/>
        <w:rPr>
          <w:rFonts w:cs="Arial"/>
          <w:noProof/>
          <w:sz w:val="18"/>
        </w:rPr>
        <w:sectPr w:rsidR="001806F3" w:rsidRPr="001806F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806F3">
        <w:rPr>
          <w:rFonts w:cs="Arial"/>
          <w:noProof/>
          <w:sz w:val="18"/>
          <w:szCs w:val="24"/>
        </w:rPr>
        <w:t xml:space="preserve">Verdecchia, Paolo et al. 2012. “Day-Night Dip and Early-Morning Surge in Blood Pressure in Hypertension: Prognostic Implications.” </w:t>
      </w:r>
      <w:r w:rsidRPr="001806F3">
        <w:rPr>
          <w:rFonts w:cs="Arial"/>
          <w:i/>
          <w:iCs/>
          <w:noProof/>
          <w:sz w:val="18"/>
          <w:szCs w:val="24"/>
        </w:rPr>
        <w:t>Hypertension</w:t>
      </w:r>
      <w:r w:rsidRPr="001806F3">
        <w:rPr>
          <w:rFonts w:cs="Arial"/>
          <w:noProof/>
          <w:sz w:val="18"/>
          <w:szCs w:val="24"/>
        </w:rPr>
        <w:t xml:space="preserve"> 60(1):34–42.</w:t>
      </w:r>
    </w:p>
    <w:p w:rsidR="00AE3E37" w:rsidRDefault="00F73915" w:rsidP="001806F3">
      <w:pPr>
        <w:autoSpaceDE w:val="0"/>
        <w:autoSpaceDN w:val="0"/>
        <w:adjustRightInd w:val="0"/>
        <w:spacing w:after="120"/>
        <w:rPr>
          <w:rFonts w:ascii="Calibri"/>
          <w:sz w:val="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fldChar w:fldCharType="end"/>
      </w:r>
    </w:p>
    <w:sectPr w:rsidR="00AE3E37" w:rsidSect="007033E4"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6EC" w:rsidRDefault="009006EC">
      <w:r>
        <w:separator/>
      </w:r>
    </w:p>
  </w:endnote>
  <w:endnote w:type="continuationSeparator" w:id="0">
    <w:p w:rsidR="009006EC" w:rsidRDefault="00900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CE5024B" wp14:editId="6895C35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474D453" wp14:editId="2102529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126330E" wp14:editId="61818AA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6EC" w:rsidRDefault="009006EC">
      <w:r>
        <w:separator/>
      </w:r>
    </w:p>
  </w:footnote>
  <w:footnote w:type="continuationSeparator" w:id="0">
    <w:p w:rsidR="009006EC" w:rsidRDefault="00900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29E05DB" wp14:editId="0353475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AE016BD"/>
    <w:multiLevelType w:val="hybridMultilevel"/>
    <w:tmpl w:val="29D07B4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23156"/>
    <w:rsid w:val="001263DF"/>
    <w:rsid w:val="00150A1E"/>
    <w:rsid w:val="001806F3"/>
    <w:rsid w:val="001C1CBF"/>
    <w:rsid w:val="002220FB"/>
    <w:rsid w:val="0022612D"/>
    <w:rsid w:val="00292ED9"/>
    <w:rsid w:val="00404E5B"/>
    <w:rsid w:val="00414F7B"/>
    <w:rsid w:val="004355DC"/>
    <w:rsid w:val="004749B4"/>
    <w:rsid w:val="00494130"/>
    <w:rsid w:val="004F3523"/>
    <w:rsid w:val="00544177"/>
    <w:rsid w:val="005973B9"/>
    <w:rsid w:val="005B3A56"/>
    <w:rsid w:val="005E5410"/>
    <w:rsid w:val="006060CE"/>
    <w:rsid w:val="0063497F"/>
    <w:rsid w:val="00675BFC"/>
    <w:rsid w:val="006910C5"/>
    <w:rsid w:val="007033E4"/>
    <w:rsid w:val="00827B1F"/>
    <w:rsid w:val="00873DF0"/>
    <w:rsid w:val="008756E6"/>
    <w:rsid w:val="009006EC"/>
    <w:rsid w:val="009B2D44"/>
    <w:rsid w:val="00A07E82"/>
    <w:rsid w:val="00A9710C"/>
    <w:rsid w:val="00AE3E37"/>
    <w:rsid w:val="00B21A57"/>
    <w:rsid w:val="00C33602"/>
    <w:rsid w:val="00C56E45"/>
    <w:rsid w:val="00CC00DB"/>
    <w:rsid w:val="00CD6F55"/>
    <w:rsid w:val="00DD37E9"/>
    <w:rsid w:val="00DE3104"/>
    <w:rsid w:val="00DE54ED"/>
    <w:rsid w:val="00E029EB"/>
    <w:rsid w:val="00F72EEA"/>
    <w:rsid w:val="00F73915"/>
    <w:rsid w:val="00F84CAE"/>
    <w:rsid w:val="00FE4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brod_jay@hot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brod_jay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Jason</cp:lastModifiedBy>
  <cp:revision>4</cp:revision>
  <dcterms:created xsi:type="dcterms:W3CDTF">2017-09-06T17:44:00Z</dcterms:created>
  <dcterms:modified xsi:type="dcterms:W3CDTF">2017-09-06T18:51:00Z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