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99E" w:rsidRPr="00AC42FE" w:rsidRDefault="001E499E" w:rsidP="001E499E">
      <w:pPr>
        <w:bidi w:val="0"/>
        <w:spacing w:line="240" w:lineRule="auto"/>
        <w:jc w:val="both"/>
        <w:rPr>
          <w:rFonts w:asciiTheme="majorBidi" w:hAnsiTheme="majorBidi" w:cstheme="majorBidi"/>
          <w:sz w:val="20"/>
          <w:szCs w:val="20"/>
          <w:rtl/>
          <w:lang w:bidi="ar-EG"/>
        </w:rPr>
      </w:pPr>
    </w:p>
    <w:p w:rsidR="001E499E" w:rsidRPr="00B80EB9" w:rsidRDefault="001E499E" w:rsidP="001E499E">
      <w:pPr>
        <w:bidi w:val="0"/>
        <w:rPr>
          <w:rFonts w:asciiTheme="majorBidi" w:hAnsiTheme="majorBidi" w:cstheme="majorBidi"/>
          <w:b/>
          <w:bCs/>
          <w:sz w:val="24"/>
          <w:szCs w:val="24"/>
          <w:u w:val="single"/>
          <w:lang w:bidi="ar-EG"/>
        </w:rPr>
      </w:pPr>
      <w:r w:rsidRPr="00B80EB9">
        <w:rPr>
          <w:rFonts w:asciiTheme="majorBidi" w:hAnsiTheme="majorBidi" w:cstheme="majorBidi"/>
          <w:b/>
          <w:bCs/>
          <w:sz w:val="24"/>
          <w:szCs w:val="24"/>
          <w:u w:val="single"/>
          <w:lang w:bidi="ar-EG"/>
        </w:rPr>
        <w:t>Abstract</w:t>
      </w:r>
    </w:p>
    <w:p w:rsidR="001E499E" w:rsidRPr="00B80EB9" w:rsidRDefault="001E499E" w:rsidP="001E499E">
      <w:pPr>
        <w:autoSpaceDE w:val="0"/>
        <w:autoSpaceDN w:val="0"/>
        <w:bidi w:val="0"/>
        <w:adjustRightInd w:val="0"/>
        <w:spacing w:after="0"/>
        <w:jc w:val="both"/>
        <w:rPr>
          <w:rFonts w:ascii="AdvTTc9c3bd71" w:hAnsi="AdvTTc9c3bd71" w:cs="AdvTTc9c3bd71"/>
          <w:sz w:val="24"/>
          <w:szCs w:val="24"/>
          <w:rtl/>
        </w:rPr>
      </w:pPr>
      <w:r w:rsidRPr="00B80EB9">
        <w:rPr>
          <w:rFonts w:asciiTheme="majorBidi" w:hAnsiTheme="majorBidi" w:cstheme="majorBidi"/>
          <w:b/>
          <w:bCs/>
          <w:sz w:val="24"/>
          <w:szCs w:val="24"/>
        </w:rPr>
        <w:t>Background</w:t>
      </w:r>
      <w:r w:rsidRPr="00B80EB9">
        <w:rPr>
          <w:rFonts w:asciiTheme="majorBidi" w:hAnsiTheme="majorBidi" w:cstheme="majorBidi"/>
          <w:sz w:val="24"/>
          <w:szCs w:val="24"/>
        </w:rPr>
        <w:t xml:space="preserve">: Ischemic mitral regurgitation </w:t>
      </w:r>
      <w:r w:rsidRPr="00B80EB9">
        <w:rPr>
          <w:rFonts w:asciiTheme="majorBidi" w:hAnsiTheme="majorBidi" w:cstheme="majorBidi"/>
          <w:i/>
          <w:iCs/>
          <w:sz w:val="24"/>
          <w:szCs w:val="24"/>
        </w:rPr>
        <w:t>(</w:t>
      </w:r>
      <w:r w:rsidRPr="00B80EB9">
        <w:rPr>
          <w:rFonts w:asciiTheme="majorBidi" w:hAnsiTheme="majorBidi" w:cstheme="majorBidi"/>
          <w:sz w:val="24"/>
          <w:szCs w:val="24"/>
        </w:rPr>
        <w:t>IMR</w:t>
      </w:r>
      <w:r w:rsidRPr="00B80EB9">
        <w:rPr>
          <w:rFonts w:asciiTheme="majorBidi" w:hAnsiTheme="majorBidi" w:cstheme="majorBidi"/>
          <w:i/>
          <w:iCs/>
          <w:sz w:val="24"/>
          <w:szCs w:val="24"/>
        </w:rPr>
        <w:t xml:space="preserve">) </w:t>
      </w:r>
      <w:r w:rsidRPr="00B80EB9">
        <w:rPr>
          <w:rFonts w:asciiTheme="majorBidi" w:hAnsiTheme="majorBidi" w:cstheme="majorBidi"/>
          <w:sz w:val="24"/>
          <w:szCs w:val="24"/>
        </w:rPr>
        <w:t xml:space="preserve">is associated with poor outcomes. The optimal surgical strategy for management of IMR is still debated. The objective of this study is to evaluate early mortality and morbidity of mitral valve repair </w:t>
      </w:r>
      <w:r w:rsidRPr="00B80EB9">
        <w:rPr>
          <w:rFonts w:asciiTheme="majorBidi" w:hAnsiTheme="majorBidi" w:cstheme="majorBidi"/>
          <w:i/>
          <w:iCs/>
          <w:sz w:val="24"/>
          <w:szCs w:val="24"/>
        </w:rPr>
        <w:t>(</w:t>
      </w:r>
      <w:r w:rsidRPr="00B80EB9">
        <w:rPr>
          <w:rFonts w:asciiTheme="majorBidi" w:hAnsiTheme="majorBidi" w:cstheme="majorBidi"/>
          <w:sz w:val="24"/>
          <w:szCs w:val="24"/>
        </w:rPr>
        <w:t>MVr</w:t>
      </w:r>
      <w:r w:rsidRPr="00B80EB9">
        <w:rPr>
          <w:rFonts w:asciiTheme="majorBidi" w:hAnsiTheme="majorBidi" w:cstheme="majorBidi"/>
          <w:i/>
          <w:iCs/>
          <w:sz w:val="24"/>
          <w:szCs w:val="24"/>
        </w:rPr>
        <w:t>)</w:t>
      </w:r>
      <w:r w:rsidRPr="00B80EB9">
        <w:rPr>
          <w:rFonts w:asciiTheme="majorBidi" w:hAnsiTheme="majorBidi" w:cstheme="majorBidi"/>
          <w:sz w:val="24"/>
          <w:szCs w:val="24"/>
        </w:rPr>
        <w:t xml:space="preserve"> in patients with IMR undergoing coronary artery bypass grafting </w:t>
      </w:r>
      <w:r w:rsidRPr="00B80EB9">
        <w:rPr>
          <w:rFonts w:asciiTheme="majorBidi" w:hAnsiTheme="majorBidi" w:cstheme="majorBidi"/>
          <w:i/>
          <w:iCs/>
          <w:sz w:val="24"/>
          <w:szCs w:val="24"/>
        </w:rPr>
        <w:t>(</w:t>
      </w:r>
      <w:r w:rsidRPr="00B80EB9">
        <w:rPr>
          <w:rFonts w:asciiTheme="majorBidi" w:hAnsiTheme="majorBidi" w:cstheme="majorBidi"/>
          <w:sz w:val="24"/>
          <w:szCs w:val="24"/>
        </w:rPr>
        <w:t>CABG</w:t>
      </w:r>
      <w:r w:rsidRPr="00B80EB9">
        <w:rPr>
          <w:rFonts w:asciiTheme="majorBidi" w:hAnsiTheme="majorBidi" w:cstheme="majorBidi"/>
          <w:i/>
          <w:iCs/>
          <w:sz w:val="24"/>
          <w:szCs w:val="24"/>
        </w:rPr>
        <w:t>)</w:t>
      </w:r>
      <w:r w:rsidRPr="00B80EB9">
        <w:rPr>
          <w:rFonts w:asciiTheme="majorBidi" w:hAnsiTheme="majorBidi" w:cstheme="majorBidi"/>
          <w:sz w:val="24"/>
          <w:szCs w:val="24"/>
        </w:rPr>
        <w:t xml:space="preserve">. </w:t>
      </w:r>
    </w:p>
    <w:p w:rsidR="001E499E" w:rsidRPr="00B80EB9" w:rsidRDefault="001E499E" w:rsidP="001E499E">
      <w:pPr>
        <w:autoSpaceDE w:val="0"/>
        <w:autoSpaceDN w:val="0"/>
        <w:bidi w:val="0"/>
        <w:adjustRightInd w:val="0"/>
        <w:spacing w:after="0"/>
        <w:jc w:val="both"/>
        <w:rPr>
          <w:rFonts w:asciiTheme="majorBidi" w:hAnsiTheme="majorBidi" w:cstheme="majorBidi"/>
          <w:sz w:val="24"/>
          <w:szCs w:val="24"/>
        </w:rPr>
      </w:pPr>
      <w:r w:rsidRPr="00B80EB9">
        <w:rPr>
          <w:rFonts w:asciiTheme="majorBidi" w:hAnsiTheme="majorBidi" w:cstheme="majorBidi"/>
          <w:b/>
          <w:bCs/>
          <w:sz w:val="24"/>
          <w:szCs w:val="24"/>
        </w:rPr>
        <w:t>Patients and Methods</w:t>
      </w:r>
      <w:r w:rsidRPr="00B80EB9">
        <w:rPr>
          <w:rFonts w:asciiTheme="majorBidi" w:hAnsiTheme="majorBidi" w:cstheme="majorBidi"/>
          <w:sz w:val="24"/>
          <w:szCs w:val="24"/>
        </w:rPr>
        <w:t xml:space="preserve">: We performed a retrospective, observational; cohort study was undertaken of prospectively collected data on 136 consecutive CABG patients with IMR undergoing MVr between January 2016 and January 2020. Perioperative echo findings, operative procedure, and outcome were analyzed. </w:t>
      </w:r>
    </w:p>
    <w:p w:rsidR="001E499E" w:rsidRPr="00B80EB9" w:rsidRDefault="001E499E" w:rsidP="001E499E">
      <w:pPr>
        <w:autoSpaceDE w:val="0"/>
        <w:autoSpaceDN w:val="0"/>
        <w:bidi w:val="0"/>
        <w:adjustRightInd w:val="0"/>
        <w:spacing w:after="0"/>
        <w:jc w:val="both"/>
        <w:rPr>
          <w:rFonts w:asciiTheme="majorBidi" w:hAnsiTheme="majorBidi" w:cstheme="majorBidi"/>
          <w:sz w:val="24"/>
          <w:szCs w:val="24"/>
        </w:rPr>
      </w:pPr>
      <w:r w:rsidRPr="00B80EB9">
        <w:rPr>
          <w:rFonts w:asciiTheme="majorBidi" w:hAnsiTheme="majorBidi" w:cstheme="majorBidi"/>
          <w:b/>
          <w:bCs/>
          <w:sz w:val="24"/>
          <w:szCs w:val="24"/>
        </w:rPr>
        <w:t>Results</w:t>
      </w:r>
      <w:r w:rsidRPr="00B80EB9">
        <w:rPr>
          <w:rFonts w:asciiTheme="majorBidi" w:hAnsiTheme="majorBidi" w:cstheme="majorBidi"/>
          <w:sz w:val="24"/>
          <w:szCs w:val="24"/>
        </w:rPr>
        <w:t xml:space="preserve">: The overall mortality rate was 4.4%. Mitral valve repair with low Ejection Fraction (EF) has a 4-fold increase in the risk of death compared with MVr with preserved EF &gt;30%. However, after adjusting for preoperative risk factors, the number of grafts was not an independent risk factor for mortality </w:t>
      </w:r>
      <w:r w:rsidRPr="00B80EB9">
        <w:rPr>
          <w:rFonts w:ascii="Times New Roman" w:eastAsia="Times New Roman" w:hAnsi="Times New Roman" w:cs="Times New Roman"/>
          <w:sz w:val="24"/>
          <w:szCs w:val="24"/>
        </w:rPr>
        <w:t>(OR 0.18, 95% CI 0.03–2.81, P = 0.84)</w:t>
      </w:r>
      <w:r w:rsidRPr="00B80EB9">
        <w:rPr>
          <w:rFonts w:asciiTheme="majorBidi" w:hAnsiTheme="majorBidi" w:cstheme="majorBidi"/>
          <w:sz w:val="24"/>
          <w:szCs w:val="24"/>
        </w:rPr>
        <w:t xml:space="preserve">. Multivariable analysis showed that preoperative LVEF </w:t>
      </w:r>
      <w:r w:rsidRPr="00B80EB9">
        <w:rPr>
          <w:rFonts w:ascii="Times New Roman" w:eastAsia="Times New Roman" w:hAnsi="Times New Roman" w:cs="Times New Roman"/>
          <w:sz w:val="24"/>
          <w:szCs w:val="24"/>
        </w:rPr>
        <w:t>(OR 1.14, 95% CI 0.82–4.86, P = &lt;0.01)</w:t>
      </w:r>
      <w:r w:rsidRPr="00B80EB9">
        <w:rPr>
          <w:rFonts w:asciiTheme="majorBidi" w:hAnsiTheme="majorBidi" w:cstheme="majorBidi"/>
          <w:sz w:val="24"/>
          <w:szCs w:val="24"/>
        </w:rPr>
        <w:t xml:space="preserve">, and preoperative LVESD </w:t>
      </w:r>
      <w:r w:rsidRPr="00B80EB9">
        <w:rPr>
          <w:rFonts w:ascii="Times New Roman" w:eastAsia="Times New Roman" w:hAnsi="Times New Roman" w:cs="Times New Roman"/>
          <w:sz w:val="24"/>
          <w:szCs w:val="24"/>
        </w:rPr>
        <w:t>(OR 1.03, 95% CI 0.65–3.51, P = &lt;0.01) and preoperative LVED (OR 0.99, 95% CI 0.64–3.28, P = 0.04) were independent risk factors of mortality.</w:t>
      </w:r>
      <w:r w:rsidRPr="00B80EB9">
        <w:rPr>
          <w:rFonts w:asciiTheme="majorBidi" w:hAnsiTheme="majorBidi" w:cstheme="majorBidi"/>
          <w:sz w:val="24"/>
          <w:szCs w:val="24"/>
        </w:rPr>
        <w:t xml:space="preserve"> </w:t>
      </w:r>
    </w:p>
    <w:p w:rsidR="001E499E" w:rsidRPr="00B80EB9" w:rsidRDefault="001E499E" w:rsidP="001E499E">
      <w:pPr>
        <w:bidi w:val="0"/>
        <w:jc w:val="both"/>
        <w:rPr>
          <w:rFonts w:asciiTheme="majorBidi" w:hAnsiTheme="majorBidi" w:cstheme="majorBidi"/>
          <w:b/>
          <w:bCs/>
          <w:sz w:val="24"/>
          <w:szCs w:val="24"/>
        </w:rPr>
      </w:pPr>
      <w:r w:rsidRPr="00B80EB9">
        <w:rPr>
          <w:rFonts w:asciiTheme="majorBidi" w:hAnsiTheme="majorBidi" w:cstheme="majorBidi"/>
          <w:b/>
          <w:bCs/>
          <w:sz w:val="24"/>
          <w:szCs w:val="24"/>
        </w:rPr>
        <w:t xml:space="preserve">Conclusions: </w:t>
      </w:r>
      <w:r w:rsidRPr="00B80EB9">
        <w:rPr>
          <w:rFonts w:asciiTheme="majorBidi" w:hAnsiTheme="majorBidi" w:cstheme="majorBidi"/>
          <w:sz w:val="24"/>
          <w:szCs w:val="24"/>
        </w:rPr>
        <w:t>MV Repair can be performed safely, concomitantly with CABG, in patients with (moderate, moderately severe, and severe)</w:t>
      </w:r>
      <w:r w:rsidRPr="00B80EB9">
        <w:rPr>
          <w:rFonts w:asciiTheme="majorBidi" w:hAnsiTheme="majorBidi" w:cstheme="majorBidi"/>
          <w:i/>
          <w:iCs/>
          <w:sz w:val="24"/>
          <w:szCs w:val="24"/>
        </w:rPr>
        <w:t xml:space="preserve"> </w:t>
      </w:r>
      <w:r w:rsidRPr="00B80EB9">
        <w:rPr>
          <w:rFonts w:asciiTheme="majorBidi" w:hAnsiTheme="majorBidi" w:cstheme="majorBidi"/>
          <w:sz w:val="24"/>
          <w:szCs w:val="24"/>
        </w:rPr>
        <w:t>IMR.</w:t>
      </w:r>
    </w:p>
    <w:p w:rsidR="001E499E" w:rsidRPr="00CC37A4" w:rsidRDefault="001E499E" w:rsidP="001E499E">
      <w:pPr>
        <w:bidi w:val="0"/>
        <w:jc w:val="both"/>
        <w:rPr>
          <w:rFonts w:asciiTheme="majorBidi" w:hAnsiTheme="majorBidi" w:cstheme="majorBidi"/>
          <w:b/>
          <w:bCs/>
          <w:sz w:val="24"/>
          <w:szCs w:val="24"/>
          <w:rtl/>
        </w:rPr>
      </w:pPr>
      <w:r w:rsidRPr="00B80EB9">
        <w:rPr>
          <w:rFonts w:asciiTheme="majorBidi" w:hAnsiTheme="majorBidi" w:cstheme="majorBidi"/>
          <w:b/>
          <w:bCs/>
          <w:sz w:val="24"/>
          <w:szCs w:val="24"/>
        </w:rPr>
        <w:t xml:space="preserve">Keywords: </w:t>
      </w:r>
      <w:r w:rsidRPr="00B80EB9">
        <w:rPr>
          <w:rFonts w:asciiTheme="majorBidi" w:hAnsiTheme="majorBidi" w:cstheme="majorBidi"/>
          <w:sz w:val="24"/>
          <w:szCs w:val="24"/>
        </w:rPr>
        <w:t>Ischemic Mitral Regurgitation, Mitral Valve Repair, Coronary Artery Bypass Grafting, Annuloplasty</w:t>
      </w:r>
      <w:r w:rsidRPr="00B80EB9">
        <w:rPr>
          <w:rFonts w:asciiTheme="majorBidi" w:hAnsiTheme="majorBidi" w:cstheme="majorBidi"/>
          <w:sz w:val="24"/>
          <w:szCs w:val="24"/>
          <w:lang w:bidi="ar-EG"/>
        </w:rPr>
        <w:t>.</w:t>
      </w:r>
      <w:bookmarkStart w:id="0" w:name="_GoBack"/>
      <w:bookmarkEnd w:id="0"/>
      <w:r w:rsidRPr="00CC37A4">
        <w:rPr>
          <w:rFonts w:asciiTheme="majorBidi" w:hAnsiTheme="majorBidi" w:cstheme="majorBidi"/>
          <w:sz w:val="24"/>
          <w:szCs w:val="24"/>
          <w:lang w:bidi="ar-EG"/>
        </w:rPr>
        <w:t xml:space="preserve">                                                                                       </w:t>
      </w:r>
    </w:p>
    <w:p w:rsidR="00141600" w:rsidRPr="001E499E" w:rsidRDefault="00141600" w:rsidP="001E499E"/>
    <w:sectPr w:rsidR="00141600" w:rsidRPr="001E499E" w:rsidSect="00777BB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dvTTc9c3bd7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DD4"/>
    <w:rsid w:val="00141600"/>
    <w:rsid w:val="001E499E"/>
    <w:rsid w:val="006140D2"/>
    <w:rsid w:val="00777BBB"/>
    <w:rsid w:val="0078718B"/>
    <w:rsid w:val="008B6DD4"/>
    <w:rsid w:val="00B80EB9"/>
    <w:rsid w:val="00EB47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99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40D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99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40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235</Words>
  <Characters>1345</Characters>
  <Application>Microsoft Office Word</Application>
  <DocSecurity>0</DocSecurity>
  <Lines>11</Lines>
  <Paragraphs>3</Paragraphs>
  <ScaleCrop>false</ScaleCrop>
  <Company/>
  <LinksUpToDate>false</LinksUpToDate>
  <CharactersWithSpaces>1577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2020-08-07T20:04:00Z</dcterms:created>
  <dcterms:modified xsi:type="dcterms:W3CDTF">2020-09-23T20:22:00Z</dcterms:modified>
</cp:coreProperties>
</file>