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LhgqbjAdvTTb8864ccf.B" w:hAnsi="LhgqbjAdvTTb8864ccf.B" w:cs="LhgqbjAdvTTb8864ccf.B"/>
          <w:color w:val="131413"/>
          <w:sz w:val="35"/>
          <w:szCs w:val="35"/>
        </w:rPr>
      </w:pPr>
      <w:r>
        <w:rPr>
          <w:rFonts w:ascii="LhgqbjAdvTTb8864ccf.B" w:hAnsi="LhgqbjAdvTTb8864ccf.B" w:cs="LhgqbjAdvTTb8864ccf.B"/>
          <w:color w:val="131413"/>
          <w:sz w:val="35"/>
          <w:szCs w:val="35"/>
        </w:rPr>
        <w:t>Quercetin and Vitamin C Mitigate Cobalt Chloride-Induced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LhgqbjAdvTTb8864ccf.B" w:hAnsi="LhgqbjAdvTTb8864ccf.B" w:cs="LhgqbjAdvTTb8864ccf.B"/>
          <w:color w:val="131413"/>
          <w:sz w:val="35"/>
          <w:szCs w:val="35"/>
        </w:rPr>
      </w:pPr>
      <w:r>
        <w:rPr>
          <w:rFonts w:ascii="LhgqbjAdvTTb8864ccf.B" w:hAnsi="LhgqbjAdvTTb8864ccf.B" w:cs="LhgqbjAdvTTb8864ccf.B"/>
          <w:color w:val="131413"/>
          <w:sz w:val="35"/>
          <w:szCs w:val="35"/>
        </w:rPr>
        <w:t>Hypertension through Reduction in Oxidative Stress and Nuclear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LhgqbjAdvTTb8864ccf.B" w:hAnsi="LhgqbjAdvTTb8864ccf.B" w:cs="LhgqbjAdvTTb8864ccf.B"/>
          <w:color w:val="131413"/>
          <w:sz w:val="35"/>
          <w:szCs w:val="35"/>
        </w:rPr>
      </w:pPr>
      <w:r>
        <w:rPr>
          <w:rFonts w:ascii="LhgqbjAdvTTb8864ccf.B" w:hAnsi="LhgqbjAdvTTb8864ccf.B" w:cs="LhgqbjAdvTTb8864ccf.B"/>
          <w:color w:val="131413"/>
          <w:sz w:val="35"/>
          <w:szCs w:val="35"/>
        </w:rPr>
        <w:t>Factor Kappa Beta (NF-Kb) Expression in Experimental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LhgqbjAdvTTb8864ccf.B" w:hAnsi="LhgqbjAdvTTb8864ccf.B" w:cs="LhgqbjAdvTTb8864ccf.B"/>
          <w:color w:val="131413"/>
          <w:sz w:val="35"/>
          <w:szCs w:val="35"/>
        </w:rPr>
      </w:pPr>
      <w:r>
        <w:rPr>
          <w:rFonts w:ascii="LhgqbjAdvTTb8864ccf.B" w:hAnsi="LhgqbjAdvTTb8864ccf.B" w:cs="LhgqbjAdvTTb8864ccf.B"/>
          <w:color w:val="131413"/>
          <w:sz w:val="35"/>
          <w:szCs w:val="35"/>
        </w:rPr>
        <w:t>Rat Model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YsvbkpAdvP0005" w:hAnsi="YsvbkpAdvP0005" w:cs="YsvbkpAdvP0005"/>
          <w:color w:val="131413"/>
          <w:sz w:val="16"/>
          <w:szCs w:val="16"/>
        </w:rPr>
      </w:pPr>
      <w:r>
        <w:rPr>
          <w:rFonts w:ascii="LhgqbjAdvTTb8864ccf.B" w:hAnsi="LhgqbjAdvTTb8864ccf.B" w:cs="LhgqbjAdvTTb8864ccf.B"/>
          <w:color w:val="131413"/>
          <w:sz w:val="20"/>
          <w:szCs w:val="20"/>
        </w:rPr>
        <w:t>Temitayo Olabisi Ajibade</w:t>
      </w:r>
      <w:r>
        <w:rPr>
          <w:rFonts w:ascii="LhgqbjAdvTTb8864ccf.B" w:hAnsi="LhgqbjAdvTTb8864ccf.B" w:cs="LhgqbjAdvTTb8864ccf.B"/>
          <w:color w:val="131413"/>
          <w:sz w:val="13"/>
          <w:szCs w:val="13"/>
        </w:rPr>
        <w:t xml:space="preserve">1 </w:t>
      </w:r>
      <w:r>
        <w:rPr>
          <w:rFonts w:ascii="YsvbkpAdvP0005" w:hAnsi="YsvbkpAdvP0005" w:cs="YsvbkpAdvP0005"/>
          <w:color w:val="131413"/>
          <w:sz w:val="16"/>
          <w:szCs w:val="16"/>
        </w:rPr>
        <w:t xml:space="preserve">&amp; </w:t>
      </w:r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Ademola Adetokunbo Oyagbemi </w:t>
      </w:r>
      <w:r>
        <w:rPr>
          <w:rFonts w:ascii="LhgqbjAdvTTb8864ccf.B" w:hAnsi="LhgqbjAdvTTb8864ccf.B" w:cs="LhgqbjAdvTTb8864ccf.B"/>
          <w:color w:val="131413"/>
          <w:sz w:val="13"/>
          <w:szCs w:val="13"/>
        </w:rPr>
        <w:t xml:space="preserve">1 </w:t>
      </w:r>
      <w:r>
        <w:rPr>
          <w:rFonts w:ascii="YsvbkpAdvP0005" w:hAnsi="YsvbkpAdvP0005" w:cs="YsvbkpAdvP0005"/>
          <w:color w:val="131413"/>
          <w:sz w:val="16"/>
          <w:szCs w:val="16"/>
        </w:rPr>
        <w:t>&amp;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YsvbkpAdvP0005" w:hAnsi="YsvbkpAdvP0005" w:cs="YsvbkpAdvP0005"/>
          <w:color w:val="131413"/>
          <w:sz w:val="16"/>
          <w:szCs w:val="16"/>
        </w:rPr>
      </w:pPr>
      <w:r>
        <w:rPr>
          <w:rFonts w:ascii="LhgqbjAdvTTb8864ccf.B" w:hAnsi="LhgqbjAdvTTb8864ccf.B" w:cs="LhgqbjAdvTTb8864ccf.B"/>
          <w:color w:val="131413"/>
          <w:sz w:val="20"/>
          <w:szCs w:val="20"/>
        </w:rPr>
        <w:t>Temidayo Olutayo Omobowale</w:t>
      </w:r>
      <w:r>
        <w:rPr>
          <w:rFonts w:ascii="LhgqbjAdvTTb8864ccf.B" w:hAnsi="LhgqbjAdvTTb8864ccf.B" w:cs="LhgqbjAdvTTb8864ccf.B"/>
          <w:color w:val="131413"/>
          <w:sz w:val="13"/>
          <w:szCs w:val="13"/>
        </w:rPr>
        <w:t xml:space="preserve">2 </w:t>
      </w:r>
      <w:r>
        <w:rPr>
          <w:rFonts w:ascii="YsvbkpAdvP0005" w:hAnsi="YsvbkpAdvP0005" w:cs="YsvbkpAdvP0005"/>
          <w:color w:val="131413"/>
          <w:sz w:val="16"/>
          <w:szCs w:val="16"/>
        </w:rPr>
        <w:t xml:space="preserve">&amp; </w:t>
      </w:r>
      <w:r>
        <w:rPr>
          <w:rFonts w:ascii="LhgqbjAdvTTb8864ccf.B" w:hAnsi="LhgqbjAdvTTb8864ccf.B" w:cs="LhgqbjAdvTTb8864ccf.B"/>
          <w:color w:val="131413"/>
          <w:sz w:val="20"/>
          <w:szCs w:val="20"/>
        </w:rPr>
        <w:t>Ebunoluwa Racheal Asenuga</w:t>
      </w:r>
      <w:r>
        <w:rPr>
          <w:rFonts w:ascii="LhgqbjAdvTTb8864ccf.B" w:hAnsi="LhgqbjAdvTTb8864ccf.B" w:cs="LhgqbjAdvTTb8864ccf.B"/>
          <w:color w:val="131413"/>
          <w:sz w:val="13"/>
          <w:szCs w:val="13"/>
        </w:rPr>
        <w:t xml:space="preserve">3 </w:t>
      </w:r>
      <w:r>
        <w:rPr>
          <w:rFonts w:ascii="YsvbkpAdvP0005" w:hAnsi="YsvbkpAdvP0005" w:cs="YsvbkpAdvP0005"/>
          <w:color w:val="131413"/>
          <w:sz w:val="16"/>
          <w:szCs w:val="16"/>
        </w:rPr>
        <w:t>&amp;</w:t>
      </w:r>
    </w:p>
    <w:p w:rsidR="00405A06" w:rsidRDefault="00C13A4A" w:rsidP="00C13A4A">
      <w:pPr>
        <w:rPr>
          <w:rFonts w:ascii="LhgqbjAdvTTb8864ccf.B" w:hAnsi="LhgqbjAdvTTb8864ccf.B" w:cs="LhgqbjAdvTTb8864ccf.B"/>
          <w:color w:val="131413"/>
          <w:sz w:val="13"/>
          <w:szCs w:val="13"/>
        </w:rPr>
      </w:pPr>
      <w:r>
        <w:rPr>
          <w:rFonts w:ascii="LhgqbjAdvTTb8864ccf.B" w:hAnsi="LhgqbjAdvTTb8864ccf.B" w:cs="LhgqbjAdvTTb8864ccf.B"/>
          <w:color w:val="131413"/>
          <w:sz w:val="20"/>
          <w:szCs w:val="20"/>
        </w:rPr>
        <w:t>Kabirat Oluwaseun Adigun</w:t>
      </w:r>
      <w:r>
        <w:rPr>
          <w:rFonts w:ascii="LhgqbjAdvTTb8864ccf.B" w:hAnsi="LhgqbjAdvTTb8864ccf.B" w:cs="LhgqbjAdvTTb8864ccf.B"/>
          <w:color w:val="131413"/>
          <w:sz w:val="13"/>
          <w:szCs w:val="13"/>
        </w:rPr>
        <w:t>1</w:t>
      </w:r>
    </w:p>
    <w:p w:rsidR="00C13A4A" w:rsidRDefault="00C13A4A" w:rsidP="00C13A4A">
      <w:pPr>
        <w:rPr>
          <w:rFonts w:ascii="LhgqbjAdvTTb8864ccf.B" w:hAnsi="LhgqbjAdvTTb8864ccf.B" w:cs="LhgqbjAdvTTb8864ccf.B"/>
          <w:color w:val="131413"/>
          <w:sz w:val="13"/>
          <w:szCs w:val="13"/>
        </w:rPr>
      </w:pP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RgmxcmAdvTT3713a231" w:hAnsi="RgmxcmAdvTT3713a231" w:cs="RgmxcmAdvTT3713a231"/>
          <w:color w:val="131413"/>
          <w:sz w:val="20"/>
          <w:szCs w:val="20"/>
        </w:rPr>
      </w:pPr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Abstract 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>The objective of the present work was to evaluate the toxic effects of cobalt chloride, a potent oxidative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RgmxcmAdvTT3713a231" w:hAnsi="RgmxcmAdvTT3713a231" w:cs="RgmxcmAdvTT3713a231"/>
          <w:color w:val="131413"/>
          <w:sz w:val="20"/>
          <w:szCs w:val="20"/>
        </w:rPr>
      </w:pPr>
      <w:r>
        <w:rPr>
          <w:rFonts w:ascii="RgmxcmAdvTT3713a231" w:hAnsi="RgmxcmAdvTT3713a231" w:cs="RgmxcmAdvTT3713a231"/>
          <w:color w:val="131413"/>
          <w:sz w:val="20"/>
          <w:szCs w:val="20"/>
        </w:rPr>
        <w:t>stress-inducing chemical, at 650 ppm in rats and the protective effect of quercetin and/or vitamin C against the cobalt chloride-induced toxicity. Thirty rats were randomly selected, and assigned to one of five groups: control, cobalt chloride, cobalt chloride + quercetin, cobalt chloride + vitamin C and cobalt chloride + quercetin + vitamin C. The exposure of rats to cobalt chloride led to a significant increase (</w:t>
      </w:r>
      <w:r>
        <w:rPr>
          <w:rFonts w:ascii="CdnkbvAdvTT50a2f13e.I" w:hAnsi="CdnkbvAdvTT50a2f13e.I" w:cs="CdnkbvAdvTT50a2f13e.I"/>
          <w:color w:val="131413"/>
          <w:sz w:val="20"/>
          <w:szCs w:val="20"/>
        </w:rPr>
        <w:t xml:space="preserve">p 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>&lt; 0.05) in malondialdehyde (MDA) and hydrogen peroxide (H</w:t>
      </w:r>
      <w:r>
        <w:rPr>
          <w:rFonts w:ascii="RgmxcmAdvTT3713a231" w:hAnsi="RgmxcmAdvTT3713a231" w:cs="RgmxcmAdvTT3713a231"/>
          <w:color w:val="131413"/>
          <w:sz w:val="13"/>
          <w:szCs w:val="13"/>
        </w:rPr>
        <w:t>2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>O</w:t>
      </w:r>
      <w:r>
        <w:rPr>
          <w:rFonts w:ascii="RgmxcmAdvTT3713a231" w:hAnsi="RgmxcmAdvTT3713a231" w:cs="RgmxcmAdvTT3713a231"/>
          <w:color w:val="131413"/>
          <w:sz w:val="13"/>
          <w:szCs w:val="13"/>
        </w:rPr>
        <w:t>2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>) generated, but decreased nitric oxide (NO) bioavailability. Also, significant (</w:t>
      </w:r>
      <w:r>
        <w:rPr>
          <w:rFonts w:ascii="CdnkbvAdvTT50a2f13e.I" w:hAnsi="CdnkbvAdvTT50a2f13e.I" w:cs="CdnkbvAdvTT50a2f13e.I"/>
          <w:color w:val="131413"/>
          <w:sz w:val="20"/>
          <w:szCs w:val="20"/>
        </w:rPr>
        <w:t xml:space="preserve">p 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>&lt; 0.05) reductions were observed in the activity of glutathione peroxidase (GPx) and reduced glutathione (GSH) content in the cardiac and renal tissues. Treatment with quercetin and vitamin C reversed the effect of cobalt chloride on MDA, H</w:t>
      </w:r>
      <w:r>
        <w:rPr>
          <w:rFonts w:ascii="RgmxcmAdvTT3713a231" w:hAnsi="RgmxcmAdvTT3713a231" w:cs="RgmxcmAdvTT3713a231"/>
          <w:color w:val="131413"/>
          <w:sz w:val="13"/>
          <w:szCs w:val="13"/>
        </w:rPr>
        <w:t>2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>O</w:t>
      </w:r>
      <w:r>
        <w:rPr>
          <w:rFonts w:ascii="RgmxcmAdvTT3713a231" w:hAnsi="RgmxcmAdvTT3713a231" w:cs="RgmxcmAdvTT3713a231"/>
          <w:color w:val="131413"/>
          <w:sz w:val="13"/>
          <w:szCs w:val="13"/>
        </w:rPr>
        <w:t xml:space="preserve">2 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>and NO, more potently than with either of the two antioxidants, and increased the antioxidant defence system. Further, treatment of rats with quercetin and vitamin C in combination resulted in significant (</w:t>
      </w:r>
      <w:r>
        <w:rPr>
          <w:rFonts w:ascii="CdnkbvAdvTT50a2f13e.I" w:hAnsi="CdnkbvAdvTT50a2f13e.I" w:cs="CdnkbvAdvTT50a2f13e.I"/>
          <w:color w:val="131413"/>
          <w:sz w:val="20"/>
          <w:szCs w:val="20"/>
        </w:rPr>
        <w:t xml:space="preserve">p 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>&lt; 0.05) decreases in the systolic, diastolic, and mean arterial blood pressure of rats, relative to those exposed to cobalt chloride alone. Immunohistochemical studies revealed a greater expression of nuclear factor kappa beta (NF-kB) in the cobalt chloride group compared with the control- and antioxidants-treated rats. The results of this study suggest a protective role for quercetin and vitamin C in the amelioration of the toxic mechanisms leading to cobalt chloride-induced hypertension and its associated cardiac and renal complications in rats.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RgmxcmAdvTT3713a231" w:hAnsi="RgmxcmAdvTT3713a231" w:cs="RgmxcmAdvTT3713a231"/>
          <w:color w:val="131413"/>
          <w:sz w:val="20"/>
          <w:szCs w:val="20"/>
        </w:rPr>
      </w:pP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RgmxcmAdvTT3713a231" w:hAnsi="RgmxcmAdvTT3713a231" w:cs="RgmxcmAdvTT3713a231"/>
          <w:color w:val="131413"/>
          <w:sz w:val="20"/>
          <w:szCs w:val="20"/>
        </w:rPr>
      </w:pPr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Keywords 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>Cobalt chloride . Cardiorenal dysfunctions .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</w:pPr>
      <w:r>
        <w:rPr>
          <w:rFonts w:ascii="RgmxcmAdvTT3713a231" w:hAnsi="RgmxcmAdvTT3713a231" w:cs="RgmxcmAdvTT3713a231"/>
          <w:color w:val="131413"/>
          <w:sz w:val="20"/>
          <w:szCs w:val="20"/>
        </w:rPr>
        <w:t>Oxidative stress . Hypertension . Nuclear factor kappa beta</w:t>
      </w:r>
    </w:p>
    <w:sectPr w:rsidR="00C13A4A" w:rsidSect="00405A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hgqbjAdvTTb8864ccf.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svbkpAdvP000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gmxcm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dnkbvAdvTT50a2f13e.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20"/>
  <w:characterSpacingControl w:val="doNotCompress"/>
  <w:compat/>
  <w:rsids>
    <w:rsidRoot w:val="00C13A4A"/>
    <w:rsid w:val="00405A06"/>
    <w:rsid w:val="00736D10"/>
    <w:rsid w:val="00C13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1812</Characters>
  <Application>Microsoft Office Word</Application>
  <DocSecurity>0</DocSecurity>
  <Lines>15</Lines>
  <Paragraphs>4</Paragraphs>
  <ScaleCrop>false</ScaleCrop>
  <Company>Hewlett-Packard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Tayo Ajibade</dc:creator>
  <cp:lastModifiedBy>Tayo Ajibade</cp:lastModifiedBy>
  <cp:revision>1</cp:revision>
  <dcterms:created xsi:type="dcterms:W3CDTF">2016-08-23T05:17:00Z</dcterms:created>
  <dcterms:modified xsi:type="dcterms:W3CDTF">2016-08-23T05:20:00Z</dcterms:modified>
</cp:coreProperties>
</file>