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5EF" w:rsidRDefault="006518AE" w:rsidP="00D25BF2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D25BF2">
        <w:rPr>
          <w:rFonts w:asciiTheme="majorBidi" w:hAnsiTheme="majorBidi" w:cstheme="majorBidi"/>
          <w:b/>
          <w:bCs/>
          <w:sz w:val="28"/>
          <w:szCs w:val="28"/>
        </w:rPr>
        <w:t>Right Ventricular Myocardial Infarction</w:t>
      </w:r>
      <w:r w:rsidR="00D25BF2" w:rsidRPr="00D25BF2">
        <w:rPr>
          <w:rFonts w:asciiTheme="majorBidi" w:hAnsiTheme="majorBidi" w:cstheme="majorBidi"/>
          <w:b/>
          <w:bCs/>
          <w:sz w:val="28"/>
          <w:szCs w:val="28"/>
        </w:rPr>
        <w:t xml:space="preserve"> and Cardiogenic Shock</w:t>
      </w:r>
      <w:r w:rsidRPr="00D25BF2">
        <w:rPr>
          <w:rFonts w:asciiTheme="majorBidi" w:hAnsiTheme="majorBidi" w:cstheme="majorBidi"/>
          <w:b/>
          <w:bCs/>
          <w:sz w:val="28"/>
          <w:szCs w:val="28"/>
        </w:rPr>
        <w:t>, The Most Devastating Complication of No-reflow Phenomena Pos</w:t>
      </w:r>
      <w:r w:rsidR="00DF659C">
        <w:rPr>
          <w:rFonts w:asciiTheme="majorBidi" w:hAnsiTheme="majorBidi" w:cstheme="majorBidi"/>
          <w:b/>
          <w:bCs/>
          <w:sz w:val="28"/>
          <w:szCs w:val="28"/>
        </w:rPr>
        <w:t>t PCI on Right Coronary Artery</w:t>
      </w:r>
    </w:p>
    <w:p w:rsidR="0050023F" w:rsidRPr="0050023F" w:rsidRDefault="0050023F" w:rsidP="00D25BF2">
      <w:pPr>
        <w:jc w:val="both"/>
        <w:rPr>
          <w:rFonts w:asciiTheme="majorBidi" w:hAnsiTheme="majorBidi" w:cstheme="majorBidi"/>
          <w:sz w:val="20"/>
          <w:szCs w:val="20"/>
        </w:rPr>
      </w:pPr>
      <w:r w:rsidRPr="0050023F">
        <w:rPr>
          <w:rFonts w:asciiTheme="majorBidi" w:hAnsiTheme="majorBidi" w:cstheme="majorBidi"/>
          <w:sz w:val="20"/>
          <w:szCs w:val="20"/>
        </w:rPr>
        <w:t>Hosseini. Zahra. MD</w:t>
      </w:r>
    </w:p>
    <w:p w:rsidR="0050023F" w:rsidRPr="0050023F" w:rsidRDefault="0050023F" w:rsidP="00D25BF2">
      <w:pPr>
        <w:jc w:val="both"/>
        <w:rPr>
          <w:rFonts w:asciiTheme="majorBidi" w:hAnsiTheme="majorBidi" w:cstheme="majorBidi"/>
          <w:sz w:val="20"/>
          <w:szCs w:val="20"/>
        </w:rPr>
      </w:pPr>
      <w:r w:rsidRPr="0050023F">
        <w:rPr>
          <w:rFonts w:asciiTheme="majorBidi" w:hAnsiTheme="majorBidi" w:cstheme="majorBidi"/>
          <w:sz w:val="20"/>
          <w:szCs w:val="20"/>
        </w:rPr>
        <w:t xml:space="preserve">Iran, </w:t>
      </w:r>
      <w:proofErr w:type="spellStart"/>
      <w:r w:rsidRPr="0050023F">
        <w:rPr>
          <w:rFonts w:asciiTheme="majorBidi" w:hAnsiTheme="majorBidi" w:cstheme="majorBidi"/>
          <w:sz w:val="20"/>
          <w:szCs w:val="20"/>
        </w:rPr>
        <w:t>Rajaie</w:t>
      </w:r>
      <w:proofErr w:type="spellEnd"/>
      <w:r w:rsidRPr="0050023F">
        <w:rPr>
          <w:rFonts w:asciiTheme="majorBidi" w:hAnsiTheme="majorBidi" w:cstheme="majorBidi"/>
          <w:sz w:val="20"/>
          <w:szCs w:val="20"/>
        </w:rPr>
        <w:t xml:space="preserve"> Tertiary Heart Center</w:t>
      </w:r>
    </w:p>
    <w:p w:rsidR="00195D95" w:rsidRDefault="00195D95">
      <w:pPr>
        <w:rPr>
          <w:rFonts w:asciiTheme="majorBidi" w:hAnsiTheme="majorBidi" w:cstheme="majorBidi"/>
          <w:i/>
          <w:iCs/>
          <w:sz w:val="24"/>
          <w:szCs w:val="24"/>
        </w:rPr>
      </w:pPr>
    </w:p>
    <w:p w:rsidR="008F214D" w:rsidRDefault="00D25BF2" w:rsidP="00D25BF2">
      <w:pPr>
        <w:jc w:val="both"/>
        <w:rPr>
          <w:rFonts w:asciiTheme="majorBidi" w:hAnsiTheme="majorBidi" w:cstheme="majorBidi"/>
          <w:sz w:val="24"/>
          <w:szCs w:val="24"/>
        </w:rPr>
      </w:pPr>
      <w:r w:rsidRPr="00FA37DF">
        <w:rPr>
          <w:rFonts w:asciiTheme="majorBidi" w:hAnsiTheme="majorBidi" w:cstheme="majorBidi"/>
          <w:sz w:val="24"/>
          <w:szCs w:val="24"/>
        </w:rPr>
        <w:t xml:space="preserve">Statement of the Problem: </w:t>
      </w:r>
      <w:r w:rsidR="00174536" w:rsidRPr="00FA37DF">
        <w:rPr>
          <w:rFonts w:asciiTheme="majorBidi" w:hAnsiTheme="majorBidi" w:cstheme="majorBidi"/>
          <w:sz w:val="24"/>
          <w:szCs w:val="24"/>
        </w:rPr>
        <w:t>The most common c</w:t>
      </w:r>
      <w:r w:rsidR="00066E04" w:rsidRPr="00FA37DF">
        <w:rPr>
          <w:rFonts w:asciiTheme="majorBidi" w:hAnsiTheme="majorBidi" w:cstheme="majorBidi"/>
          <w:sz w:val="24"/>
          <w:szCs w:val="24"/>
        </w:rPr>
        <w:t>ause of death is cardiovascular</w:t>
      </w:r>
      <w:r w:rsidR="00174536" w:rsidRPr="00FA37DF">
        <w:rPr>
          <w:rFonts w:asciiTheme="majorBidi" w:hAnsiTheme="majorBidi" w:cstheme="majorBidi"/>
          <w:sz w:val="24"/>
          <w:szCs w:val="24"/>
        </w:rPr>
        <w:t xml:space="preserve"> disease worldwide</w:t>
      </w:r>
      <w:r w:rsidR="00066E04" w:rsidRPr="00FA37DF">
        <w:rPr>
          <w:rFonts w:asciiTheme="majorBidi" w:hAnsiTheme="majorBidi" w:cstheme="majorBidi"/>
          <w:sz w:val="24"/>
          <w:szCs w:val="24"/>
        </w:rPr>
        <w:t>,</w:t>
      </w:r>
      <w:r w:rsidR="00174536" w:rsidRPr="00FA37DF">
        <w:rPr>
          <w:rFonts w:asciiTheme="majorBidi" w:hAnsiTheme="majorBidi" w:cstheme="majorBidi"/>
          <w:sz w:val="24"/>
          <w:szCs w:val="24"/>
        </w:rPr>
        <w:t xml:space="preserve"> and while the incidence of the ST-Elevation-Myocardial Infarction (STEMI) has been dec</w:t>
      </w:r>
      <w:r w:rsidR="00066E04" w:rsidRPr="00FA37DF">
        <w:rPr>
          <w:rFonts w:asciiTheme="majorBidi" w:hAnsiTheme="majorBidi" w:cstheme="majorBidi"/>
          <w:sz w:val="24"/>
          <w:szCs w:val="24"/>
        </w:rPr>
        <w:t>reased in recent decades and it’</w:t>
      </w:r>
      <w:r w:rsidR="00174536" w:rsidRPr="00FA37DF">
        <w:rPr>
          <w:rFonts w:asciiTheme="majorBidi" w:hAnsiTheme="majorBidi" w:cstheme="majorBidi"/>
          <w:sz w:val="24"/>
          <w:szCs w:val="24"/>
        </w:rPr>
        <w:t xml:space="preserve"> prognosis is improving but concomitantly the incidence of Non-STEMI- ACS is increasing as the rate of</w:t>
      </w:r>
      <w:r w:rsidR="00066E04" w:rsidRPr="00FA37DF">
        <w:rPr>
          <w:rFonts w:asciiTheme="majorBidi" w:hAnsiTheme="majorBidi" w:cstheme="majorBidi"/>
          <w:sz w:val="24"/>
          <w:szCs w:val="24"/>
        </w:rPr>
        <w:t xml:space="preserve"> elderly, diab</w:t>
      </w:r>
      <w:r w:rsidR="00174536" w:rsidRPr="00FA37DF">
        <w:rPr>
          <w:rFonts w:asciiTheme="majorBidi" w:hAnsiTheme="majorBidi" w:cstheme="majorBidi"/>
          <w:sz w:val="24"/>
          <w:szCs w:val="24"/>
        </w:rPr>
        <w:t>etic mellitus, obesity, chronic kidney disease, and</w:t>
      </w:r>
      <w:r w:rsidR="00066E04" w:rsidRPr="00FA37DF">
        <w:rPr>
          <w:rFonts w:asciiTheme="majorBidi" w:hAnsiTheme="majorBidi" w:cstheme="majorBidi"/>
          <w:sz w:val="24"/>
          <w:szCs w:val="24"/>
        </w:rPr>
        <w:t xml:space="preserve"> any others comorbidities are </w:t>
      </w:r>
      <w:r w:rsidR="004764A0" w:rsidRPr="00FA37DF">
        <w:rPr>
          <w:rFonts w:asciiTheme="majorBidi" w:hAnsiTheme="majorBidi" w:cstheme="majorBidi"/>
          <w:sz w:val="24"/>
          <w:szCs w:val="24"/>
        </w:rPr>
        <w:t>enhanced.</w:t>
      </w:r>
      <w:r w:rsidR="00FC7AD3" w:rsidRPr="00FA37DF">
        <w:rPr>
          <w:rFonts w:asciiTheme="majorBidi" w:hAnsiTheme="majorBidi" w:cstheme="majorBidi"/>
          <w:sz w:val="24"/>
          <w:szCs w:val="24"/>
        </w:rPr>
        <w:t xml:space="preserve"> </w:t>
      </w:r>
      <w:r w:rsidR="00E30976" w:rsidRPr="00FA37DF">
        <w:rPr>
          <w:rFonts w:asciiTheme="majorBidi" w:hAnsiTheme="majorBidi" w:cstheme="majorBidi"/>
          <w:sz w:val="24"/>
          <w:szCs w:val="24"/>
        </w:rPr>
        <w:t xml:space="preserve">Findings: This case, is one of the extreme rare example of refractory RVMI, post PCI on RCA who developed refractory multi-organ failure despite </w:t>
      </w:r>
      <w:r w:rsidR="00DF659C">
        <w:rPr>
          <w:rFonts w:asciiTheme="majorBidi" w:hAnsiTheme="majorBidi" w:cstheme="majorBidi"/>
          <w:sz w:val="24"/>
          <w:szCs w:val="24"/>
        </w:rPr>
        <w:t>of mechanical circulatory support</w:t>
      </w:r>
      <w:r w:rsidR="00E30976" w:rsidRPr="00FA37DF">
        <w:rPr>
          <w:rFonts w:asciiTheme="majorBidi" w:hAnsiTheme="majorBidi" w:cstheme="majorBidi"/>
          <w:sz w:val="24"/>
          <w:szCs w:val="24"/>
        </w:rPr>
        <w:t xml:space="preserve"> device implantation</w:t>
      </w:r>
      <w:r w:rsidR="00C86283">
        <w:rPr>
          <w:rFonts w:asciiTheme="majorBidi" w:hAnsiTheme="majorBidi" w:cstheme="majorBidi"/>
          <w:sz w:val="24"/>
          <w:szCs w:val="24"/>
        </w:rPr>
        <w:t xml:space="preserve">. Conclusion and Significance: </w:t>
      </w:r>
      <w:r w:rsidR="00067384">
        <w:rPr>
          <w:rFonts w:asciiTheme="majorBidi" w:hAnsiTheme="majorBidi" w:cstheme="majorBidi"/>
          <w:sz w:val="24"/>
          <w:szCs w:val="24"/>
        </w:rPr>
        <w:t>One of the most concern of interventional cardiologist is no reflow phenomena, which in essence increase the short and long term cardiovascular events. The</w:t>
      </w:r>
      <w:r w:rsidR="00685B2B">
        <w:rPr>
          <w:rFonts w:asciiTheme="majorBidi" w:hAnsiTheme="majorBidi" w:cstheme="majorBidi"/>
          <w:sz w:val="24"/>
          <w:szCs w:val="24"/>
        </w:rPr>
        <w:t xml:space="preserve"> in-hospital</w:t>
      </w:r>
      <w:r w:rsidR="00067384">
        <w:rPr>
          <w:rFonts w:asciiTheme="majorBidi" w:hAnsiTheme="majorBidi" w:cstheme="majorBidi"/>
          <w:sz w:val="24"/>
          <w:szCs w:val="24"/>
        </w:rPr>
        <w:t xml:space="preserve"> mortality of the patient</w:t>
      </w:r>
      <w:r w:rsidR="00A87305">
        <w:rPr>
          <w:rFonts w:asciiTheme="majorBidi" w:hAnsiTheme="majorBidi" w:cstheme="majorBidi"/>
          <w:sz w:val="24"/>
          <w:szCs w:val="24"/>
        </w:rPr>
        <w:t>s</w:t>
      </w:r>
      <w:r w:rsidR="00067384">
        <w:rPr>
          <w:rFonts w:asciiTheme="majorBidi" w:hAnsiTheme="majorBidi" w:cstheme="majorBidi"/>
          <w:sz w:val="24"/>
          <w:szCs w:val="24"/>
        </w:rPr>
        <w:t xml:space="preserve"> with MI and cardiogenic shock (almost always</w:t>
      </w:r>
      <w:r w:rsidR="00A87305">
        <w:rPr>
          <w:rFonts w:asciiTheme="majorBidi" w:hAnsiTheme="majorBidi" w:cstheme="majorBidi"/>
          <w:sz w:val="24"/>
          <w:szCs w:val="24"/>
        </w:rPr>
        <w:t xml:space="preserve"> due to LV</w:t>
      </w:r>
      <w:r w:rsidR="00067384">
        <w:rPr>
          <w:rFonts w:asciiTheme="majorBidi" w:hAnsiTheme="majorBidi" w:cstheme="majorBidi"/>
          <w:sz w:val="24"/>
          <w:szCs w:val="24"/>
        </w:rPr>
        <w:t xml:space="preserve"> pump failure</w:t>
      </w:r>
      <w:r w:rsidR="00A87305">
        <w:rPr>
          <w:rFonts w:asciiTheme="majorBidi" w:hAnsiTheme="majorBidi" w:cstheme="majorBidi"/>
          <w:sz w:val="24"/>
          <w:szCs w:val="24"/>
        </w:rPr>
        <w:t>) is very high (more than 60%),</w:t>
      </w:r>
      <w:r w:rsidR="00685B2B">
        <w:rPr>
          <w:rFonts w:asciiTheme="majorBidi" w:hAnsiTheme="majorBidi" w:cstheme="majorBidi"/>
          <w:sz w:val="24"/>
          <w:szCs w:val="24"/>
        </w:rPr>
        <w:t xml:space="preserve"> but RV is a forgotten ventricle, as the risk of mortality followi</w:t>
      </w:r>
      <w:r w:rsidR="00843BD8">
        <w:rPr>
          <w:rFonts w:asciiTheme="majorBidi" w:hAnsiTheme="majorBidi" w:cstheme="majorBidi"/>
          <w:sz w:val="24"/>
          <w:szCs w:val="24"/>
        </w:rPr>
        <w:t>ng</w:t>
      </w:r>
      <w:r w:rsidR="008434DB">
        <w:rPr>
          <w:rFonts w:asciiTheme="majorBidi" w:hAnsiTheme="majorBidi" w:cstheme="majorBidi"/>
          <w:sz w:val="24"/>
          <w:szCs w:val="24"/>
        </w:rPr>
        <w:t xml:space="preserve"> RVMI is just like LV failure, b</w:t>
      </w:r>
      <w:r w:rsidR="00843BD8">
        <w:rPr>
          <w:rFonts w:asciiTheme="majorBidi" w:hAnsiTheme="majorBidi" w:cstheme="majorBidi"/>
          <w:sz w:val="24"/>
          <w:szCs w:val="24"/>
        </w:rPr>
        <w:t>ut in case</w:t>
      </w:r>
      <w:r w:rsidR="008434DB">
        <w:rPr>
          <w:rFonts w:asciiTheme="majorBidi" w:hAnsiTheme="majorBidi" w:cstheme="majorBidi"/>
          <w:sz w:val="24"/>
          <w:szCs w:val="24"/>
        </w:rPr>
        <w:t xml:space="preserve"> of RVMI the mandatory part is efficient resuscitation as we have demonstrated in this case.</w:t>
      </w:r>
    </w:p>
    <w:p w:rsidR="00850DB6" w:rsidRPr="00850DB6" w:rsidRDefault="00850DB6" w:rsidP="00D25BF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50DB6">
        <w:rPr>
          <w:rFonts w:asciiTheme="majorBidi" w:hAnsiTheme="majorBidi" w:cstheme="majorBidi"/>
          <w:b/>
          <w:bCs/>
          <w:sz w:val="24"/>
          <w:szCs w:val="24"/>
        </w:rPr>
        <w:t>Image</w:t>
      </w:r>
    </w:p>
    <w:p w:rsidR="00174536" w:rsidRDefault="00850DB6" w:rsidP="00850DB6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2206256" cy="1786394"/>
            <wp:effectExtent l="0" t="0" r="381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0079AF.t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502" cy="17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DB6" w:rsidRDefault="00850DB6" w:rsidP="00850DB6">
      <w:pPr>
        <w:rPr>
          <w:rFonts w:asciiTheme="majorBidi" w:hAnsiTheme="majorBidi" w:cstheme="majorBidi"/>
          <w:b/>
          <w:sz w:val="24"/>
          <w:szCs w:val="28"/>
        </w:rPr>
      </w:pPr>
      <w:r w:rsidRPr="00850DB6">
        <w:rPr>
          <w:rFonts w:asciiTheme="majorBidi" w:hAnsiTheme="majorBidi" w:cstheme="majorBidi"/>
          <w:b/>
          <w:sz w:val="24"/>
          <w:szCs w:val="28"/>
        </w:rPr>
        <w:t>Recent Publications</w:t>
      </w:r>
    </w:p>
    <w:p w:rsidR="00612AFC" w:rsidRPr="00612AFC" w:rsidRDefault="00612AFC" w:rsidP="00303835">
      <w:pPr>
        <w:pStyle w:val="ListParagraph"/>
        <w:numPr>
          <w:ilvl w:val="0"/>
          <w:numId w:val="2"/>
        </w:numPr>
        <w:shd w:val="clear" w:color="auto" w:fill="FFFFFF"/>
        <w:spacing w:before="240" w:after="150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612AFC">
        <w:rPr>
          <w:rFonts w:asciiTheme="majorBidi" w:hAnsiTheme="majorBidi" w:cstheme="majorBidi"/>
          <w:sz w:val="20"/>
          <w:szCs w:val="20"/>
        </w:rPr>
        <w:t xml:space="preserve">Ronen Jaffe, et al (2008) </w:t>
      </w:r>
      <w:r w:rsidRPr="00612AFC">
        <w:rPr>
          <w:rFonts w:asciiTheme="majorBidi" w:hAnsiTheme="majorBidi" w:cstheme="majorBidi"/>
          <w:color w:val="000000"/>
          <w:sz w:val="20"/>
          <w:szCs w:val="20"/>
        </w:rPr>
        <w:t>Microvascular Obstruction and the No-Reflow Phenomenon After Percutaneous Coronary Intervention. C</w:t>
      </w:r>
      <w:r w:rsidRPr="00612AFC">
        <w:rPr>
          <w:rFonts w:asciiTheme="majorBidi" w:eastAsia="Times New Roman" w:hAnsiTheme="majorBidi" w:cstheme="majorBidi"/>
          <w:sz w:val="20"/>
          <w:szCs w:val="20"/>
        </w:rPr>
        <w:t>irculation. 2008; 117:3152–3156.</w:t>
      </w:r>
    </w:p>
    <w:p w:rsidR="00612AFC" w:rsidRPr="00A50ECC" w:rsidRDefault="00A50ECC" w:rsidP="00303835">
      <w:pPr>
        <w:pStyle w:val="ListParagraph"/>
        <w:numPr>
          <w:ilvl w:val="0"/>
          <w:numId w:val="2"/>
        </w:numPr>
        <w:shd w:val="clear" w:color="auto" w:fill="FFFFFF"/>
        <w:spacing w:before="240" w:after="150"/>
        <w:jc w:val="both"/>
        <w:rPr>
          <w:rFonts w:asciiTheme="majorBidi" w:hAnsiTheme="majorBidi" w:cstheme="majorBidi"/>
          <w:color w:val="000000"/>
          <w:sz w:val="18"/>
          <w:szCs w:val="18"/>
        </w:rPr>
      </w:pPr>
      <w:r w:rsidRPr="00A50ECC">
        <w:rPr>
          <w:rFonts w:asciiTheme="majorBidi" w:hAnsiTheme="majorBidi" w:cstheme="majorBidi"/>
          <w:sz w:val="20"/>
          <w:szCs w:val="20"/>
        </w:rPr>
        <w:t>Li Yang, MD, et al (2020) Prediction of no-reflow phenomenon in patients treated with primary percutaneous coronary intervention for ST-segment elevation myocardial infarction. Medicine (2020) 99:26.</w:t>
      </w:r>
    </w:p>
    <w:p w:rsidR="00A50ECC" w:rsidRPr="004D1189" w:rsidRDefault="004D1189" w:rsidP="00303835">
      <w:pPr>
        <w:pStyle w:val="ListParagraph"/>
        <w:numPr>
          <w:ilvl w:val="0"/>
          <w:numId w:val="2"/>
        </w:numPr>
        <w:shd w:val="clear" w:color="auto" w:fill="FFFFFF"/>
        <w:spacing w:before="240" w:after="150"/>
        <w:jc w:val="both"/>
        <w:rPr>
          <w:rFonts w:asciiTheme="majorBidi" w:hAnsiTheme="majorBidi" w:cstheme="majorBidi"/>
          <w:color w:val="000000"/>
          <w:sz w:val="16"/>
          <w:szCs w:val="16"/>
        </w:rPr>
      </w:pPr>
      <w:r w:rsidRPr="004D1189">
        <w:rPr>
          <w:rFonts w:asciiTheme="majorBidi" w:hAnsiTheme="majorBidi" w:cstheme="majorBidi"/>
          <w:sz w:val="20"/>
          <w:szCs w:val="20"/>
        </w:rPr>
        <w:t xml:space="preserve">Cyrus </w:t>
      </w:r>
      <w:proofErr w:type="spellStart"/>
      <w:r w:rsidRPr="004D1189">
        <w:rPr>
          <w:rFonts w:asciiTheme="majorBidi" w:hAnsiTheme="majorBidi" w:cstheme="majorBidi"/>
          <w:sz w:val="20"/>
          <w:szCs w:val="20"/>
        </w:rPr>
        <w:t>Vahdatpour</w:t>
      </w:r>
      <w:proofErr w:type="spellEnd"/>
      <w:r w:rsidRPr="004D1189">
        <w:rPr>
          <w:rFonts w:asciiTheme="majorBidi" w:hAnsiTheme="majorBidi" w:cstheme="majorBidi"/>
          <w:sz w:val="20"/>
          <w:szCs w:val="20"/>
        </w:rPr>
        <w:t>, MD; David Collins, et al (2019) Cardiogenic Shock. J Am Heart Assoc. 2019; 8: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4D1189">
        <w:rPr>
          <w:rFonts w:asciiTheme="majorBidi" w:hAnsiTheme="majorBidi" w:cstheme="majorBidi"/>
          <w:sz w:val="20"/>
          <w:szCs w:val="20"/>
        </w:rPr>
        <w:t>e011991.</w:t>
      </w:r>
    </w:p>
    <w:p w:rsidR="004D1189" w:rsidRPr="001B57D3" w:rsidRDefault="001C38B3" w:rsidP="00303835">
      <w:pPr>
        <w:pStyle w:val="ListParagraph"/>
        <w:numPr>
          <w:ilvl w:val="0"/>
          <w:numId w:val="2"/>
        </w:numPr>
        <w:shd w:val="clear" w:color="auto" w:fill="FFFFFF"/>
        <w:spacing w:before="240" w:after="150"/>
        <w:jc w:val="both"/>
        <w:rPr>
          <w:rFonts w:asciiTheme="majorBidi" w:hAnsiTheme="majorBidi" w:cstheme="majorBidi"/>
          <w:color w:val="000000"/>
          <w:sz w:val="14"/>
          <w:szCs w:val="14"/>
        </w:rPr>
      </w:pPr>
      <w:r w:rsidRPr="001B57D3">
        <w:rPr>
          <w:rFonts w:asciiTheme="majorBidi" w:hAnsiTheme="majorBidi" w:cstheme="majorBidi"/>
          <w:sz w:val="20"/>
          <w:szCs w:val="20"/>
        </w:rPr>
        <w:t xml:space="preserve">Ashish H. Shah, et al </w:t>
      </w:r>
      <w:r w:rsidR="001B57D3" w:rsidRPr="001B57D3">
        <w:rPr>
          <w:rFonts w:asciiTheme="majorBidi" w:hAnsiTheme="majorBidi" w:cstheme="majorBidi"/>
          <w:sz w:val="20"/>
          <w:szCs w:val="20"/>
        </w:rPr>
        <w:t>(2019) Management of cardiogenic shock complicating acute myocardial infarction: A review. Clinical Cardiology. 2019;</w:t>
      </w:r>
      <w:r w:rsidR="001B57D3">
        <w:rPr>
          <w:rFonts w:asciiTheme="majorBidi" w:hAnsiTheme="majorBidi" w:cstheme="majorBidi"/>
          <w:sz w:val="20"/>
          <w:szCs w:val="20"/>
        </w:rPr>
        <w:t xml:space="preserve"> </w:t>
      </w:r>
      <w:r w:rsidR="001B57D3" w:rsidRPr="001B57D3">
        <w:rPr>
          <w:rFonts w:asciiTheme="majorBidi" w:hAnsiTheme="majorBidi" w:cstheme="majorBidi"/>
          <w:sz w:val="20"/>
          <w:szCs w:val="20"/>
        </w:rPr>
        <w:t>42:484–493.</w:t>
      </w:r>
    </w:p>
    <w:p w:rsidR="001B57D3" w:rsidRPr="0059462D" w:rsidRDefault="0059462D" w:rsidP="00303835">
      <w:pPr>
        <w:pStyle w:val="ListParagraph"/>
        <w:numPr>
          <w:ilvl w:val="0"/>
          <w:numId w:val="2"/>
        </w:numPr>
        <w:shd w:val="clear" w:color="auto" w:fill="FFFFFF"/>
        <w:spacing w:before="240" w:after="150"/>
        <w:jc w:val="both"/>
        <w:rPr>
          <w:rFonts w:asciiTheme="majorBidi" w:hAnsiTheme="majorBidi" w:cstheme="majorBidi"/>
          <w:color w:val="000000"/>
          <w:sz w:val="12"/>
          <w:szCs w:val="12"/>
        </w:rPr>
      </w:pPr>
      <w:proofErr w:type="spellStart"/>
      <w:r>
        <w:rPr>
          <w:rFonts w:asciiTheme="majorBidi" w:hAnsiTheme="majorBidi" w:cstheme="majorBidi"/>
          <w:sz w:val="20"/>
          <w:szCs w:val="20"/>
        </w:rPr>
        <w:t>Arif</w:t>
      </w:r>
      <w:proofErr w:type="spellEnd"/>
      <w:r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>
        <w:rPr>
          <w:rFonts w:asciiTheme="majorBidi" w:hAnsiTheme="majorBidi" w:cstheme="majorBidi"/>
          <w:sz w:val="20"/>
          <w:szCs w:val="20"/>
        </w:rPr>
        <w:t>Albulushia</w:t>
      </w:r>
      <w:proofErr w:type="spellEnd"/>
      <w:r>
        <w:rPr>
          <w:rFonts w:asciiTheme="majorBidi" w:hAnsiTheme="majorBidi" w:cstheme="majorBidi"/>
          <w:sz w:val="20"/>
          <w:szCs w:val="20"/>
        </w:rPr>
        <w:t>,</w:t>
      </w:r>
      <w:r w:rsidRPr="0059462D">
        <w:rPr>
          <w:rFonts w:asciiTheme="majorBidi" w:hAnsiTheme="majorBidi" w:cstheme="majorBidi"/>
          <w:sz w:val="20"/>
          <w:szCs w:val="20"/>
        </w:rPr>
        <w:t xml:space="preserve"> Andreas Giannopoulos, et al (2018). Acute right ventricular myocardial infarction. Expert Review of Cardiovascular Therapy. 2018; 16: 455–464.</w:t>
      </w:r>
    </w:p>
    <w:p w:rsidR="006518AE" w:rsidRDefault="006518AE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bookmarkStart w:id="0" w:name="_GoBack"/>
      <w:bookmarkEnd w:id="0"/>
    </w:p>
    <w:sectPr w:rsidR="006518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60D8"/>
    <w:multiLevelType w:val="hybridMultilevel"/>
    <w:tmpl w:val="0C8CCAEA"/>
    <w:lvl w:ilvl="0" w:tplc="CEC035A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72736"/>
    <w:multiLevelType w:val="hybridMultilevel"/>
    <w:tmpl w:val="41B2A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BDA"/>
    <w:rsid w:val="00045693"/>
    <w:rsid w:val="00066E04"/>
    <w:rsid w:val="00067384"/>
    <w:rsid w:val="00174536"/>
    <w:rsid w:val="00195D95"/>
    <w:rsid w:val="001B57D3"/>
    <w:rsid w:val="001C38B3"/>
    <w:rsid w:val="0020656A"/>
    <w:rsid w:val="00292742"/>
    <w:rsid w:val="004764A0"/>
    <w:rsid w:val="004D1189"/>
    <w:rsid w:val="0050023F"/>
    <w:rsid w:val="0059462D"/>
    <w:rsid w:val="005F3059"/>
    <w:rsid w:val="00612AFC"/>
    <w:rsid w:val="006518AE"/>
    <w:rsid w:val="00685B2B"/>
    <w:rsid w:val="006E05AA"/>
    <w:rsid w:val="008434DB"/>
    <w:rsid w:val="00843BD8"/>
    <w:rsid w:val="00850DB6"/>
    <w:rsid w:val="008F214D"/>
    <w:rsid w:val="0093701A"/>
    <w:rsid w:val="00A50ECC"/>
    <w:rsid w:val="00A87305"/>
    <w:rsid w:val="00A97972"/>
    <w:rsid w:val="00C74BDA"/>
    <w:rsid w:val="00C86283"/>
    <w:rsid w:val="00D25BF2"/>
    <w:rsid w:val="00DF659C"/>
    <w:rsid w:val="00E30976"/>
    <w:rsid w:val="00F27D91"/>
    <w:rsid w:val="00FA37DF"/>
    <w:rsid w:val="00FC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43ADF"/>
  <w15:chartTrackingRefBased/>
  <w15:docId w15:val="{C2B16E0D-4B69-4D2C-99F3-373B0797D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12A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2AF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12AF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epub-sectionitem">
    <w:name w:val="epub-section__item"/>
    <w:basedOn w:val="DefaultParagraphFont"/>
    <w:rsid w:val="00612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6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2250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2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dcterms:created xsi:type="dcterms:W3CDTF">2022-01-17T09:38:00Z</dcterms:created>
  <dcterms:modified xsi:type="dcterms:W3CDTF">2022-01-17T15:24:00Z</dcterms:modified>
</cp:coreProperties>
</file>