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F7498" w:rsidRDefault="000F7498" w:rsidP="000F7498">
      <w:pPr>
        <w:pStyle w:val="Heading1"/>
        <w:spacing w:before="0"/>
        <w:textAlignment w:val="baseline"/>
        <w:rPr>
          <w:rFonts w:ascii="Helvetica Neue" w:eastAsia="Times New Roman" w:hAnsi="Helvetica Neue" w:cs="Times New Roman"/>
          <w:color w:val="37474F"/>
          <w:sz w:val="20"/>
          <w:szCs w:val="20"/>
        </w:rPr>
      </w:pPr>
      <w:r>
        <w:rPr>
          <w:rFonts w:ascii="Helvetica Neue" w:hAnsi="Helvetica Neue"/>
          <w:color w:val="37474F"/>
          <w:sz w:val="20"/>
          <w:szCs w:val="20"/>
        </w:rPr>
        <w:t xml:space="preserve">Updates on Intracoronary Physiology: FFR, </w:t>
      </w:r>
      <w:r w:rsidR="00347623">
        <w:rPr>
          <w:rFonts w:ascii="Helvetica Neue" w:hAnsi="Helvetica Neue"/>
          <w:color w:val="37474F"/>
          <w:sz w:val="20"/>
          <w:szCs w:val="20"/>
        </w:rPr>
        <w:t>if</w:t>
      </w:r>
      <w:r>
        <w:rPr>
          <w:rFonts w:ascii="Helvetica Neue" w:hAnsi="Helvetica Neue"/>
          <w:color w:val="37474F"/>
          <w:sz w:val="20"/>
          <w:szCs w:val="20"/>
        </w:rPr>
        <w:t>, and CFR</w:t>
      </w:r>
    </w:p>
    <w:p w:rsidR="005973B9" w:rsidRDefault="002D320D" w:rsidP="005973B9">
      <w:pPr>
        <w:pStyle w:val="BodyText"/>
        <w:spacing w:before="73" w:line="198" w:lineRule="exact"/>
        <w:ind w:left="100" w:right="5987"/>
        <w:rPr>
          <w:rFonts w:ascii="Arial"/>
        </w:rPr>
      </w:pPr>
      <w:r>
        <w:rPr>
          <w:rFonts w:ascii="Arial"/>
        </w:rPr>
        <w:t>Ali Elsharkawi</w:t>
      </w:r>
      <w:r w:rsidR="005973B9">
        <w:rPr>
          <w:rFonts w:ascii="Arial"/>
        </w:rPr>
        <w:t xml:space="preserve">, </w:t>
      </w:r>
      <w:r w:rsidR="000F7498">
        <w:rPr>
          <w:rFonts w:ascii="Arial"/>
        </w:rPr>
        <w:t xml:space="preserve">Mouwasat </w:t>
      </w:r>
      <w:r w:rsidR="00E56CAF">
        <w:rPr>
          <w:rFonts w:ascii="Arial"/>
        </w:rPr>
        <w:t>Hospital,</w:t>
      </w:r>
      <w:r w:rsidR="000F7498">
        <w:rPr>
          <w:rFonts w:ascii="Arial"/>
        </w:rPr>
        <w:t xml:space="preserve"> KSA</w:t>
      </w:r>
      <w:r w:rsidR="005973B9">
        <w:rPr>
          <w:rFonts w:ascii="Arial"/>
        </w:rPr>
        <w:t xml:space="preserve"> </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r w:rsidR="00404E5B">
        <w:rPr>
          <w:color w:val="BF5A14"/>
        </w:rPr>
        <w:t xml:space="preserve"> (300 word limit)</w:t>
      </w:r>
    </w:p>
    <w:p w:rsidR="000549DC" w:rsidRDefault="000549DC" w:rsidP="00E56CAF">
      <w:pPr>
        <w:ind w:firstLine="720"/>
        <w:jc w:val="both"/>
        <w:rPr>
          <w:sz w:val="18"/>
          <w:szCs w:val="18"/>
        </w:rPr>
      </w:pPr>
    </w:p>
    <w:p w:rsidR="00E56CAF" w:rsidRDefault="00F73510" w:rsidP="00E56CAF">
      <w:pPr>
        <w:ind w:firstLine="720"/>
        <w:jc w:val="both"/>
        <w:rPr>
          <w:b/>
          <w:bCs/>
          <w:sz w:val="18"/>
          <w:szCs w:val="18"/>
        </w:rPr>
      </w:pPr>
      <w:r w:rsidRPr="00E56CAF">
        <w:rPr>
          <w:sz w:val="18"/>
          <w:szCs w:val="18"/>
        </w:rPr>
        <w:t>Coronary artery disease (CAD) remains the leading cause of death worldwide with approximately 1 in 30 patients with stable CAD experiencing death or acute myocardial infarction each year.  Interpret the significance of coronary flow physiology for defining the extent and severity of CAD and for guiding PCI.  Select medical therapies that improve endothelial function and clinical outcome. the lecture will explain how to calculate the fractional flow reserve (FFR) and to understand the difference between CFR and FFR. And will describe key facts on vascular endothelial biology and epidemiology of vascular</w:t>
      </w:r>
      <w:r w:rsidRPr="00F73510">
        <w:rPr>
          <w:sz w:val="18"/>
          <w:szCs w:val="18"/>
        </w:rPr>
        <w:t xml:space="preserve"> endothelial dysfunction</w:t>
      </w:r>
      <w:r>
        <w:rPr>
          <w:b/>
          <w:bCs/>
          <w:sz w:val="18"/>
          <w:szCs w:val="18"/>
        </w:rPr>
        <w:t>.</w:t>
      </w:r>
      <w:r w:rsidR="00E56CAF">
        <w:rPr>
          <w:b/>
          <w:bCs/>
          <w:sz w:val="18"/>
          <w:szCs w:val="18"/>
        </w:rPr>
        <w:t xml:space="preserve"> </w:t>
      </w:r>
    </w:p>
    <w:p w:rsidR="000549DC" w:rsidRDefault="000549DC" w:rsidP="00E56CAF">
      <w:pPr>
        <w:ind w:firstLine="720"/>
        <w:jc w:val="both"/>
        <w:rPr>
          <w:b/>
          <w:bCs/>
          <w:sz w:val="18"/>
          <w:szCs w:val="18"/>
        </w:rPr>
      </w:pPr>
    </w:p>
    <w:p w:rsidR="00E56CAF" w:rsidRDefault="00E56CAF" w:rsidP="00E56CAF">
      <w:pPr>
        <w:widowControl/>
        <w:rPr>
          <w:rFonts w:ascii="Times New Roman" w:eastAsia="Times New Roman" w:hAnsi="Times New Roman" w:cs="Times New Roman"/>
          <w:sz w:val="24"/>
          <w:szCs w:val="24"/>
        </w:rPr>
      </w:pPr>
      <w:r w:rsidRPr="00E56CAF">
        <w:rPr>
          <w:rFonts w:ascii="Times New Roman" w:eastAsia="Times New Roman" w:hAnsi="Times New Roman" w:cs="Times New Roman"/>
          <w:sz w:val="24"/>
          <w:szCs w:val="24"/>
        </w:rPr>
        <w:fldChar w:fldCharType="begin"/>
      </w:r>
      <w:r w:rsidRPr="00E56CAF">
        <w:rPr>
          <w:rFonts w:ascii="Times New Roman" w:eastAsia="Times New Roman" w:hAnsi="Times New Roman" w:cs="Times New Roman"/>
          <w:sz w:val="24"/>
          <w:szCs w:val="24"/>
        </w:rPr>
        <w:instrText xml:space="preserve"> INCLUDEPICTURE "/var/folders/h2/zr26cm7s1l9527y25qgwgmbc0000gn/T/com.microsoft.Word/WebArchiveCopyPasteTempFiles/Coronary_flow_velocity_and_microvascular_resistance_over_the_wave-free_period.jpg" \* MERGEFORMATINET </w:instrText>
      </w:r>
      <w:r w:rsidRPr="00E56CAF">
        <w:rPr>
          <w:rFonts w:ascii="Times New Roman" w:eastAsia="Times New Roman" w:hAnsi="Times New Roman" w:cs="Times New Roman"/>
          <w:sz w:val="24"/>
          <w:szCs w:val="24"/>
        </w:rPr>
        <w:fldChar w:fldCharType="separate"/>
      </w:r>
      <w:r w:rsidRPr="00E56CAF">
        <w:rPr>
          <w:rFonts w:ascii="Times New Roman" w:eastAsia="Times New Roman" w:hAnsi="Times New Roman" w:cs="Times New Roman"/>
          <w:noProof/>
          <w:sz w:val="24"/>
          <w:szCs w:val="24"/>
        </w:rPr>
        <w:drawing>
          <wp:inline distT="0" distB="0" distL="0" distR="0">
            <wp:extent cx="3165475" cy="1914525"/>
            <wp:effectExtent l="0" t="0" r="0" b="3175"/>
            <wp:docPr id="4" name="Picture 4" descr="/var/folders/h2/zr26cm7s1l9527y25qgwgmbc0000gn/T/com.microsoft.Word/WebArchiveCopyPasteTempFiles/Coronary_flow_velocity_and_microvascular_resistance_over_the_wave-free_perio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var/folders/h2/zr26cm7s1l9527y25qgwgmbc0000gn/T/com.microsoft.Word/WebArchiveCopyPasteTempFiles/Coronary_flow_velocity_and_microvascular_resistance_over_the_wave-free_period.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165475" cy="1914525"/>
                    </a:xfrm>
                    <a:prstGeom prst="rect">
                      <a:avLst/>
                    </a:prstGeom>
                    <a:noFill/>
                    <a:ln>
                      <a:noFill/>
                    </a:ln>
                  </pic:spPr>
                </pic:pic>
              </a:graphicData>
            </a:graphic>
          </wp:inline>
        </w:drawing>
      </w:r>
      <w:r w:rsidRPr="00E56CAF">
        <w:rPr>
          <w:rFonts w:ascii="Times New Roman" w:eastAsia="Times New Roman" w:hAnsi="Times New Roman" w:cs="Times New Roman"/>
          <w:sz w:val="24"/>
          <w:szCs w:val="24"/>
        </w:rPr>
        <w:fldChar w:fldCharType="end"/>
      </w:r>
    </w:p>
    <w:p w:rsidR="00E273DB" w:rsidRDefault="00E273DB" w:rsidP="00AB0AC4">
      <w:pPr>
        <w:widowControl/>
        <w:jc w:val="both"/>
        <w:rPr>
          <w:sz w:val="18"/>
          <w:szCs w:val="18"/>
        </w:rPr>
      </w:pPr>
    </w:p>
    <w:p w:rsidR="00E273DB" w:rsidRPr="00E273DB" w:rsidRDefault="00E273DB" w:rsidP="00E273DB">
      <w:pPr>
        <w:widowControl/>
        <w:ind w:firstLine="720"/>
        <w:jc w:val="both"/>
        <w:rPr>
          <w:sz w:val="18"/>
          <w:szCs w:val="18"/>
        </w:rPr>
      </w:pPr>
      <w:r w:rsidRPr="00E273DB">
        <w:rPr>
          <w:sz w:val="18"/>
          <w:szCs w:val="18"/>
        </w:rPr>
        <w:t>In determining the physiological significance of an angiographically intermediate coronary stenosis, the fractional flow reserve (FFR) and instantaneous wave-free ratio (iFR) both quantify the trans-stenotic pressure ratio as a surrogate measure of coronary flow. FFR is measured under conditions of maximal pharm</w:t>
      </w:r>
      <w:r w:rsidR="000549DC">
        <w:rPr>
          <w:sz w:val="18"/>
          <w:szCs w:val="18"/>
        </w:rPr>
        <w:t xml:space="preserve">acological hyperemia </w:t>
      </w:r>
      <w:r w:rsidRPr="00E273DB">
        <w:rPr>
          <w:sz w:val="18"/>
          <w:szCs w:val="18"/>
        </w:rPr>
        <w:t xml:space="preserve">whereas iFR is </w:t>
      </w:r>
      <w:r w:rsidR="000549DC">
        <w:rPr>
          <w:sz w:val="18"/>
          <w:szCs w:val="18"/>
        </w:rPr>
        <w:t>measured in the resting state</w:t>
      </w:r>
      <w:r w:rsidRPr="00E273DB">
        <w:rPr>
          <w:sz w:val="18"/>
          <w:szCs w:val="18"/>
        </w:rPr>
        <w:t>.</w:t>
      </w:r>
    </w:p>
    <w:p w:rsidR="00E273DB" w:rsidRPr="00E273DB" w:rsidRDefault="00E273DB" w:rsidP="00E273DB">
      <w:pPr>
        <w:widowControl/>
        <w:ind w:firstLine="720"/>
        <w:jc w:val="both"/>
        <w:rPr>
          <w:sz w:val="18"/>
          <w:szCs w:val="18"/>
        </w:rPr>
      </w:pPr>
    </w:p>
    <w:p w:rsidR="00347623" w:rsidRPr="00E56CAF" w:rsidRDefault="00E273DB" w:rsidP="00E273DB">
      <w:pPr>
        <w:widowControl/>
        <w:ind w:firstLine="720"/>
        <w:jc w:val="both"/>
        <w:rPr>
          <w:sz w:val="18"/>
          <w:szCs w:val="18"/>
        </w:rPr>
      </w:pPr>
      <w:r w:rsidRPr="00E273DB">
        <w:rPr>
          <w:sz w:val="18"/>
          <w:szCs w:val="18"/>
        </w:rPr>
        <w:t>In up to 20% of cases, FFR and iFR disagree on the functiona</w:t>
      </w:r>
      <w:r w:rsidR="000549DC">
        <w:rPr>
          <w:sz w:val="18"/>
          <w:szCs w:val="18"/>
        </w:rPr>
        <w:t>l significance of a stenosis</w:t>
      </w:r>
      <w:r w:rsidRPr="00E273DB">
        <w:rPr>
          <w:sz w:val="18"/>
          <w:szCs w:val="18"/>
        </w:rPr>
        <w:t xml:space="preserve">. The recently reported DEFINE-FLAIR (Functional Lesion Assessment of Intermediate Stenosis </w:t>
      </w:r>
      <w:r w:rsidR="000549DC">
        <w:rPr>
          <w:sz w:val="18"/>
          <w:szCs w:val="18"/>
        </w:rPr>
        <w:t xml:space="preserve">to Guide Revascularization) </w:t>
      </w:r>
      <w:r w:rsidRPr="00E273DB">
        <w:rPr>
          <w:sz w:val="18"/>
          <w:szCs w:val="18"/>
        </w:rPr>
        <w:t xml:space="preserve">and iFR-SWEDEHEART (Evaluation of iFR vs FFR in Stable Angina </w:t>
      </w:r>
      <w:r w:rsidR="000549DC">
        <w:rPr>
          <w:sz w:val="18"/>
          <w:szCs w:val="18"/>
        </w:rPr>
        <w:t xml:space="preserve">or Acute Coronary Syndrome) </w:t>
      </w:r>
      <w:r w:rsidRPr="00E273DB">
        <w:rPr>
          <w:sz w:val="18"/>
          <w:szCs w:val="18"/>
        </w:rPr>
        <w:t>trials demonstrated in over 4,500 patients that iFR was noninferior to revascularization guided by FFR with respect to major adverse cardiac events (MACE) at 1 year. Furthermore, patient-level pooled meta-analysis of both trials demonstrated significantly less revascularization based on iFR versus FFR interrogation, but similar MACE in the both FFR</w:t>
      </w:r>
      <w:r w:rsidR="000549DC">
        <w:rPr>
          <w:sz w:val="18"/>
          <w:szCs w:val="18"/>
        </w:rPr>
        <w:t xml:space="preserve"> and iFR deferred populations</w:t>
      </w:r>
      <w:r w:rsidRPr="00E273DB">
        <w:rPr>
          <w:sz w:val="18"/>
          <w:szCs w:val="18"/>
        </w:rPr>
        <w:t xml:space="preserve">. This combination of findings </w:t>
      </w:r>
      <w:r w:rsidR="000549DC" w:rsidRPr="00E273DB">
        <w:rPr>
          <w:sz w:val="18"/>
          <w:szCs w:val="18"/>
        </w:rPr>
        <w:t>has</w:t>
      </w:r>
      <w:r w:rsidRPr="00E273DB">
        <w:rPr>
          <w:sz w:val="18"/>
          <w:szCs w:val="18"/>
        </w:rPr>
        <w:t xml:space="preserve"> </w:t>
      </w:r>
      <w:r w:rsidR="000549DC" w:rsidRPr="00E273DB">
        <w:rPr>
          <w:sz w:val="18"/>
          <w:szCs w:val="18"/>
        </w:rPr>
        <w:t>led</w:t>
      </w:r>
      <w:r w:rsidRPr="00E273DB">
        <w:rPr>
          <w:sz w:val="18"/>
          <w:szCs w:val="18"/>
        </w:rPr>
        <w:t xml:space="preserve"> some to question whether, in comparison to iFR, FFR overestimates the true flow-limiting potential of angiographically intermediate coronary </w:t>
      </w:r>
      <w:r w:rsidR="000549DC" w:rsidRPr="00E273DB">
        <w:rPr>
          <w:sz w:val="18"/>
          <w:szCs w:val="18"/>
        </w:rPr>
        <w:t>stenosis</w:t>
      </w:r>
      <w:r w:rsidRPr="00E273DB">
        <w:rPr>
          <w:sz w:val="18"/>
          <w:szCs w:val="18"/>
        </w:rPr>
        <w:t>.</w:t>
      </w:r>
      <w:r w:rsidR="000549DC">
        <w:rPr>
          <w:sz w:val="18"/>
          <w:szCs w:val="18"/>
        </w:rPr>
        <w:t xml:space="preserve"> This is will be discussed in the lecture.</w:t>
      </w:r>
    </w:p>
    <w:p w:rsidR="00E56CAF" w:rsidRPr="00E56CAF" w:rsidRDefault="00E56CAF" w:rsidP="00E56CAF">
      <w:pPr>
        <w:rPr>
          <w:rFonts w:ascii="Times New Roman" w:eastAsia="Times New Roman" w:hAnsi="Times New Roman" w:cs="Times New Roman"/>
          <w:sz w:val="24"/>
          <w:szCs w:val="24"/>
        </w:rPr>
      </w:pPr>
    </w:p>
    <w:p w:rsidR="00E56CAF" w:rsidRDefault="00E56CAF" w:rsidP="00E56CAF">
      <w:pPr>
        <w:pStyle w:val="Heading3"/>
        <w:spacing w:before="74"/>
        <w:rPr>
          <w:rFonts w:ascii="Tw Cen MT" w:eastAsia="Tw Cen MT" w:hAnsi="Tw Cen MT" w:cs="Tw Cen MT"/>
          <w:b w:val="0"/>
          <w:bCs w:val="0"/>
          <w:sz w:val="18"/>
          <w:szCs w:val="18"/>
        </w:rPr>
      </w:pPr>
    </w:p>
    <w:p w:rsidR="00AE3E37" w:rsidRPr="00F73510" w:rsidRDefault="00A9710C" w:rsidP="00F73510">
      <w:pPr>
        <w:pStyle w:val="Heading3"/>
        <w:spacing w:before="74"/>
        <w:rPr>
          <w:rFonts w:ascii="Tw Cen MT" w:eastAsia="Tw Cen MT" w:hAnsi="Tw Cen MT" w:cs="Tw Cen MT"/>
          <w:b w:val="0"/>
          <w:bCs w:val="0"/>
          <w:sz w:val="18"/>
          <w:szCs w:val="18"/>
        </w:rPr>
      </w:pPr>
      <w:r>
        <w:rPr>
          <w:b w:val="0"/>
        </w:rPr>
        <w:br w:type="column"/>
      </w:r>
      <w:r>
        <w:rPr>
          <w:color w:val="BF5A14"/>
        </w:rPr>
        <w:t>Image</w:t>
      </w:r>
    </w:p>
    <w:p w:rsidR="00AE3E37" w:rsidRDefault="00F73510">
      <w:pPr>
        <w:pStyle w:val="BodyText"/>
        <w:spacing w:before="2"/>
        <w:rPr>
          <w:rFonts w:ascii="Arial"/>
          <w:b/>
          <w:sz w:val="16"/>
        </w:rPr>
      </w:pPr>
      <w:r w:rsidRPr="00F73510">
        <w:rPr>
          <w:rFonts w:ascii="Arial"/>
          <w:b/>
          <w:noProof/>
          <w:sz w:val="16"/>
        </w:rPr>
        <w:drawing>
          <wp:inline distT="0" distB="0" distL="0" distR="0" wp14:anchorId="4A2148D1" wp14:editId="67FF6405">
            <wp:extent cx="3165475" cy="241490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165475" cy="2414905"/>
                    </a:xfrm>
                    <a:prstGeom prst="rect">
                      <a:avLst/>
                    </a:prstGeom>
                  </pic:spPr>
                </pic:pic>
              </a:graphicData>
            </a:graphic>
          </wp:inline>
        </w:drawing>
      </w:r>
    </w:p>
    <w:p w:rsidR="005973B9" w:rsidRDefault="005973B9" w:rsidP="005973B9">
      <w:pPr>
        <w:spacing w:line="204" w:lineRule="exact"/>
        <w:rPr>
          <w:rFonts w:ascii="Arial"/>
          <w:b/>
          <w:sz w:val="20"/>
        </w:rPr>
      </w:pPr>
      <w:r>
        <w:rPr>
          <w:rFonts w:ascii="Arial"/>
          <w:b/>
          <w:color w:val="BF5A14"/>
          <w:sz w:val="20"/>
        </w:rPr>
        <w:br/>
        <w:t>Recent Publications (minimum 5)</w:t>
      </w:r>
    </w:p>
    <w:p w:rsidR="00AE3E37" w:rsidRPr="00A03891" w:rsidRDefault="00E56CAF" w:rsidP="00FB242F">
      <w:pPr>
        <w:widowControl/>
        <w:numPr>
          <w:ilvl w:val="0"/>
          <w:numId w:val="4"/>
        </w:numPr>
        <w:spacing w:before="100" w:beforeAutospacing="1" w:after="24"/>
        <w:rPr>
          <w:rStyle w:val="HTMLCite"/>
          <w:rFonts w:ascii="Arial" w:hAnsi="Arial" w:cs="Arial"/>
          <w:color w:val="222222"/>
          <w:sz w:val="11"/>
          <w:szCs w:val="11"/>
        </w:rPr>
      </w:pPr>
      <w:r>
        <w:rPr>
          <w:rStyle w:val="apple-converted-space"/>
          <w:rFonts w:ascii="Arial" w:hAnsi="Arial" w:cs="Arial"/>
          <w:color w:val="222222"/>
          <w:sz w:val="19"/>
          <w:szCs w:val="19"/>
        </w:rPr>
        <w:t> </w:t>
      </w:r>
      <w:r w:rsidR="00FB242F" w:rsidRPr="00A03891">
        <w:rPr>
          <w:rStyle w:val="HTMLCite"/>
          <w:rFonts w:ascii="Arial" w:hAnsi="Arial" w:cs="Arial"/>
          <w:color w:val="222222"/>
          <w:sz w:val="11"/>
          <w:szCs w:val="11"/>
        </w:rPr>
        <w:t>J.E. Davies, S. Sen, H.-M. Dehbi, et al. Use of the instantaneous wave-free ratio or fractional flow reserve in PCI. N Engl J Med, 376 (2017), pp. 1824-1834</w:t>
      </w:r>
    </w:p>
    <w:p w:rsidR="00FB242F" w:rsidRPr="00A03891" w:rsidRDefault="00FB242F" w:rsidP="00FB242F">
      <w:pPr>
        <w:pStyle w:val="ListParagraph"/>
        <w:widowControl/>
        <w:numPr>
          <w:ilvl w:val="0"/>
          <w:numId w:val="4"/>
        </w:numPr>
        <w:rPr>
          <w:rFonts w:ascii="Arial" w:eastAsia="Times New Roman" w:hAnsi="Arial" w:cs="Arial"/>
          <w:i/>
          <w:iCs/>
          <w:color w:val="505050"/>
          <w:sz w:val="11"/>
          <w:szCs w:val="11"/>
        </w:rPr>
      </w:pPr>
      <w:r w:rsidRPr="00A03891">
        <w:rPr>
          <w:rFonts w:ascii="Arial" w:eastAsia="Times New Roman" w:hAnsi="Arial" w:cs="Arial"/>
          <w:i/>
          <w:iCs/>
          <w:color w:val="505050"/>
          <w:sz w:val="11"/>
          <w:szCs w:val="11"/>
        </w:rPr>
        <w:t xml:space="preserve">M. Götberg, E.H. Christiansen, I.J. Gudmundsdottir, et </w:t>
      </w:r>
      <w:r w:rsidR="00347623" w:rsidRPr="00A03891">
        <w:rPr>
          <w:rFonts w:ascii="Arial" w:eastAsia="Times New Roman" w:hAnsi="Arial" w:cs="Arial"/>
          <w:i/>
          <w:iCs/>
          <w:color w:val="505050"/>
          <w:sz w:val="11"/>
          <w:szCs w:val="11"/>
        </w:rPr>
        <w:t>al. Instantaneous</w:t>
      </w:r>
      <w:r w:rsidRPr="00A03891">
        <w:rPr>
          <w:rFonts w:ascii="Arial" w:eastAsia="Times New Roman" w:hAnsi="Arial" w:cs="Arial"/>
          <w:i/>
          <w:iCs/>
          <w:color w:val="505050"/>
          <w:sz w:val="11"/>
          <w:szCs w:val="11"/>
        </w:rPr>
        <w:t xml:space="preserve"> wave-free ratio versus fractional flow reserve to guide PCI. </w:t>
      </w:r>
      <w:r w:rsidRPr="00A03891">
        <w:rPr>
          <w:rFonts w:ascii="Arial" w:eastAsia="Times New Roman" w:hAnsi="Arial" w:cs="Arial"/>
          <w:i/>
          <w:iCs/>
          <w:color w:val="737373"/>
          <w:sz w:val="11"/>
          <w:szCs w:val="11"/>
        </w:rPr>
        <w:t>N Engl J Med, 376 (2017), pp. 1813-1823</w:t>
      </w:r>
    </w:p>
    <w:p w:rsidR="00FB242F" w:rsidRPr="00A03891" w:rsidRDefault="00FB242F" w:rsidP="00FB242F">
      <w:pPr>
        <w:pStyle w:val="ListParagraph"/>
        <w:widowControl/>
        <w:numPr>
          <w:ilvl w:val="0"/>
          <w:numId w:val="4"/>
        </w:numPr>
        <w:rPr>
          <w:rFonts w:ascii="Arial" w:eastAsia="Times New Roman" w:hAnsi="Arial" w:cs="Arial"/>
          <w:i/>
          <w:iCs/>
          <w:color w:val="505050"/>
          <w:sz w:val="11"/>
          <w:szCs w:val="11"/>
        </w:rPr>
      </w:pPr>
      <w:r w:rsidRPr="00A03891">
        <w:rPr>
          <w:rFonts w:ascii="Arial" w:eastAsia="Times New Roman" w:hAnsi="Arial" w:cs="Arial"/>
          <w:i/>
          <w:iCs/>
          <w:color w:val="505050"/>
          <w:sz w:val="11"/>
          <w:szCs w:val="11"/>
        </w:rPr>
        <w:t xml:space="preserve">M. Götberg, E.H. Christiansen, I. Gudmundsdottir, et </w:t>
      </w:r>
      <w:r w:rsidR="00347623" w:rsidRPr="00A03891">
        <w:rPr>
          <w:rFonts w:ascii="Arial" w:eastAsia="Times New Roman" w:hAnsi="Arial" w:cs="Arial"/>
          <w:i/>
          <w:iCs/>
          <w:color w:val="505050"/>
          <w:sz w:val="11"/>
          <w:szCs w:val="11"/>
        </w:rPr>
        <w:t>al. Instantaneous</w:t>
      </w:r>
      <w:r w:rsidRPr="00A03891">
        <w:rPr>
          <w:rFonts w:ascii="Arial" w:eastAsia="Times New Roman" w:hAnsi="Arial" w:cs="Arial"/>
          <w:i/>
          <w:iCs/>
          <w:color w:val="505050"/>
          <w:sz w:val="11"/>
          <w:szCs w:val="11"/>
        </w:rPr>
        <w:t xml:space="preserve"> Wave-Free Ratio versus Fractional Flow Reserve guided intervention (iFR-SWEDEHEART): rationale and design of a multicenter, prospective, registry-based randomized clinical trial. </w:t>
      </w:r>
      <w:r w:rsidRPr="00A03891">
        <w:rPr>
          <w:rFonts w:ascii="Arial" w:eastAsia="Times New Roman" w:hAnsi="Arial" w:cs="Arial"/>
          <w:i/>
          <w:iCs/>
          <w:color w:val="737373"/>
          <w:sz w:val="11"/>
          <w:szCs w:val="11"/>
        </w:rPr>
        <w:t>Am Heart J, 170 (2015), pp. 945-950</w:t>
      </w:r>
    </w:p>
    <w:p w:rsidR="00FB242F" w:rsidRPr="00A03891" w:rsidRDefault="00FB242F" w:rsidP="00FB242F">
      <w:pPr>
        <w:pStyle w:val="ListParagraph"/>
        <w:widowControl/>
        <w:numPr>
          <w:ilvl w:val="0"/>
          <w:numId w:val="4"/>
        </w:numPr>
        <w:rPr>
          <w:rFonts w:ascii="Arial" w:eastAsia="Times New Roman" w:hAnsi="Arial" w:cs="Arial"/>
          <w:i/>
          <w:iCs/>
          <w:color w:val="505050"/>
          <w:sz w:val="11"/>
          <w:szCs w:val="11"/>
        </w:rPr>
      </w:pPr>
      <w:r w:rsidRPr="00A03891">
        <w:rPr>
          <w:rFonts w:ascii="Arial" w:eastAsia="Times New Roman" w:hAnsi="Arial" w:cs="Arial"/>
          <w:i/>
          <w:iCs/>
          <w:color w:val="505050"/>
          <w:sz w:val="11"/>
          <w:szCs w:val="11"/>
        </w:rPr>
        <w:t xml:space="preserve">R. Petraco, Hoef TP van de, S. Nijjer, et al.Baseline instantaneous wave-free ratio as a pressure-only estimation of underlying coronary flow reserve results of the JUSTIFY-CFR study (Joined Coronary Pressure and Flow Analysis to Determine Diagnostic Characteristics of Basal and Hyperemic Indices of Functional Lesion Severity–Coronary Flow Reserve). </w:t>
      </w:r>
      <w:r w:rsidRPr="00A03891">
        <w:rPr>
          <w:rFonts w:ascii="Arial" w:eastAsia="Times New Roman" w:hAnsi="Arial" w:cs="Arial"/>
          <w:i/>
          <w:iCs/>
          <w:color w:val="737373"/>
          <w:sz w:val="11"/>
          <w:szCs w:val="11"/>
        </w:rPr>
        <w:t>Circ Cardiovasc Interv, 7 (2014), pp. 492-502</w:t>
      </w:r>
    </w:p>
    <w:p w:rsidR="00FB242F" w:rsidRPr="00A03891" w:rsidRDefault="00FB242F" w:rsidP="00FB242F">
      <w:pPr>
        <w:pStyle w:val="ListParagraph"/>
        <w:widowControl/>
        <w:numPr>
          <w:ilvl w:val="0"/>
          <w:numId w:val="4"/>
        </w:numPr>
        <w:rPr>
          <w:rFonts w:ascii="Arial" w:eastAsia="Times New Roman" w:hAnsi="Arial" w:cs="Arial"/>
          <w:i/>
          <w:iCs/>
          <w:color w:val="505050"/>
          <w:sz w:val="11"/>
          <w:szCs w:val="11"/>
        </w:rPr>
      </w:pPr>
      <w:r w:rsidRPr="00A03891">
        <w:rPr>
          <w:rFonts w:ascii="Arial" w:eastAsia="Times New Roman" w:hAnsi="Arial" w:cs="Arial"/>
          <w:i/>
          <w:iCs/>
          <w:color w:val="505050"/>
          <w:sz w:val="11"/>
          <w:szCs w:val="11"/>
        </w:rPr>
        <w:t xml:space="preserve">M.R. Patel, G.J. Dehmer, J.W. Hirshfeld, et al. ACCF/SCAI/STS/AATS/AHA/ASNC/HFSA/SCCT 2012 appropriate use criteria for coronary revascularization focused update. </w:t>
      </w:r>
      <w:r w:rsidRPr="00A03891">
        <w:rPr>
          <w:rFonts w:ascii="Arial" w:eastAsia="Times New Roman" w:hAnsi="Arial" w:cs="Arial"/>
          <w:i/>
          <w:iCs/>
          <w:color w:val="737373"/>
          <w:sz w:val="11"/>
          <w:szCs w:val="11"/>
        </w:rPr>
        <w:t>J Thorac Cardiovasc Surg, 143 (2012), pp. 780-803</w:t>
      </w:r>
    </w:p>
    <w:p w:rsidR="00FB242F" w:rsidRPr="00A03891" w:rsidRDefault="00FB242F" w:rsidP="00FB242F">
      <w:pPr>
        <w:pStyle w:val="ListParagraph"/>
        <w:widowControl/>
        <w:numPr>
          <w:ilvl w:val="0"/>
          <w:numId w:val="4"/>
        </w:numPr>
        <w:rPr>
          <w:rFonts w:ascii="Arial" w:eastAsia="Times New Roman" w:hAnsi="Arial" w:cs="Arial"/>
          <w:i/>
          <w:iCs/>
          <w:color w:val="505050"/>
          <w:sz w:val="11"/>
          <w:szCs w:val="11"/>
        </w:rPr>
      </w:pPr>
      <w:r w:rsidRPr="00A03891">
        <w:rPr>
          <w:rFonts w:ascii="Arial" w:eastAsia="Times New Roman" w:hAnsi="Arial" w:cs="Arial"/>
          <w:i/>
          <w:iCs/>
          <w:color w:val="505050"/>
          <w:sz w:val="11"/>
          <w:szCs w:val="11"/>
        </w:rPr>
        <w:t xml:space="preserve">S. Windecker, P. Kolh, et al.2014 ESC/EACTS Guidelines on myocardial revascularization: The Task Force on Myocardial Revascularization of the European Society of Cardiology (ESC) and the European Association for Cardio-Thoracic Surgery (EACTS) * Developed with the special contribution of the European Association of Percutaneous Cardiovascular Interventions (EAPCI). </w:t>
      </w:r>
      <w:r w:rsidRPr="00A03891">
        <w:rPr>
          <w:rFonts w:ascii="Arial" w:eastAsia="Times New Roman" w:hAnsi="Arial" w:cs="Arial"/>
          <w:i/>
          <w:iCs/>
          <w:color w:val="737373"/>
          <w:sz w:val="11"/>
          <w:szCs w:val="11"/>
        </w:rPr>
        <w:t>Eur Heart J, 35 (2014), pp. 2541-2619</w:t>
      </w:r>
    </w:p>
    <w:p w:rsidR="00FB242F" w:rsidRPr="00A03891" w:rsidRDefault="00FB242F" w:rsidP="00FB242F">
      <w:pPr>
        <w:pStyle w:val="ListParagraph"/>
        <w:widowControl/>
        <w:numPr>
          <w:ilvl w:val="0"/>
          <w:numId w:val="4"/>
        </w:numPr>
        <w:rPr>
          <w:rFonts w:ascii="Arial" w:eastAsia="Times New Roman" w:hAnsi="Arial" w:cs="Arial"/>
          <w:i/>
          <w:iCs/>
          <w:color w:val="505050"/>
          <w:sz w:val="13"/>
          <w:szCs w:val="13"/>
        </w:rPr>
      </w:pPr>
      <w:r w:rsidRPr="00A03891">
        <w:rPr>
          <w:rFonts w:ascii="Arial" w:eastAsia="Times New Roman" w:hAnsi="Arial" w:cs="Arial"/>
          <w:i/>
          <w:iCs/>
          <w:color w:val="505050"/>
          <w:sz w:val="13"/>
          <w:szCs w:val="13"/>
        </w:rPr>
        <w:t xml:space="preserve">S.D. Fihn, J.M. Gardin, J. Abrams, et al.2012 ACCF/AHA/ACP/AATS/PCNA/SCAI/STS Guideline for the diagnosis and management of patients with stable ischemic heart disease: a report of the American College of Cardiology Foundation/American Heart Association Task Force on Practice Guidelines, and the American College of Physicians, American Association for Thoracic Surgery, Preventive Cardiovascular Nurses Association, Society for Cardiovascular Angiography and Interventions, and Society of Thoracic Surgeons. </w:t>
      </w:r>
      <w:r w:rsidRPr="00A03891">
        <w:rPr>
          <w:rFonts w:ascii="Arial" w:eastAsia="Times New Roman" w:hAnsi="Arial" w:cs="Arial"/>
          <w:i/>
          <w:iCs/>
          <w:color w:val="737373"/>
          <w:sz w:val="13"/>
          <w:szCs w:val="13"/>
        </w:rPr>
        <w:t>J Am Coll Cardiol, 60 (2012), pp. e44-e164</w:t>
      </w:r>
    </w:p>
    <w:p w:rsidR="00FB242F" w:rsidRPr="00A03891" w:rsidRDefault="00FB242F" w:rsidP="00FB242F">
      <w:pPr>
        <w:pStyle w:val="ListParagraph"/>
        <w:widowControl/>
        <w:numPr>
          <w:ilvl w:val="0"/>
          <w:numId w:val="4"/>
        </w:numPr>
        <w:rPr>
          <w:rFonts w:ascii="Arial" w:eastAsia="Times New Roman" w:hAnsi="Arial" w:cs="Arial"/>
          <w:color w:val="505050"/>
          <w:sz w:val="13"/>
          <w:szCs w:val="13"/>
        </w:rPr>
      </w:pPr>
      <w:r w:rsidRPr="00A03891">
        <w:rPr>
          <w:rFonts w:ascii="Arial" w:eastAsia="Times New Roman" w:hAnsi="Arial" w:cs="Arial"/>
          <w:i/>
          <w:iCs/>
          <w:color w:val="505050"/>
          <w:sz w:val="13"/>
          <w:szCs w:val="13"/>
        </w:rPr>
        <w:t xml:space="preserve">M. Götberg, C.M. Cook, S. Sen, S. Nijjer, J. Escaned, J.E. DaviesThe evolving future of instantaneous wave-free ratio and fractional flow reserve. </w:t>
      </w:r>
      <w:r w:rsidRPr="00A03891">
        <w:rPr>
          <w:rFonts w:ascii="Arial" w:eastAsia="Times New Roman" w:hAnsi="Arial" w:cs="Arial"/>
          <w:i/>
          <w:iCs/>
          <w:color w:val="737373"/>
          <w:sz w:val="13"/>
          <w:szCs w:val="13"/>
        </w:rPr>
        <w:t>J Am Coll Cardiol, 70 (2017), pp. 1379-1402</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bookmarkStart w:id="0" w:name="_GoBack"/>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25D32AD" id="Group 4" o:spid="_x0000_s1026" style="width:313.05pt;height:2pt;mso-position-horizontal-relative:char;mso-position-vertical-relative:line" coordsize="6261,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">
                <v:line id="Line 5" o:spid="_x0000_s1027" style="position:absolute;visibility:visible;mso-wrap-style:square" from="20,20" to="6241,2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" strokecolor="#004080" strokeweight="2pt"/>
                <w10:anchorlock/>
              </v:group>
            </w:pict>
          </mc:Fallback>
        </mc:AlternateContent>
      </w:r>
      <w:bookmarkEnd w:id="0"/>
    </w:p>
    <w:p w:rsidR="00AE3E37" w:rsidRDefault="008756E6" w:rsidP="00404E5B">
      <w:pPr>
        <w:spacing w:before="92"/>
        <w:ind w:right="4234"/>
        <w:rPr>
          <w:rFonts w:ascii="Arial"/>
        </w:rPr>
      </w:pPr>
      <w:r>
        <w:rPr>
          <w:noProof/>
        </w:rPr>
        <w:lastRenderedPageBreak/>
        <w:t xml:space="preserve">              </w:t>
      </w:r>
      <w:r w:rsidR="000642C6">
        <w:rPr>
          <w:noProof/>
        </w:rPr>
        <w:t xml:space="preserve">  </w:t>
      </w:r>
      <w:r w:rsidR="008E293A" w:rsidRPr="008E293A">
        <w:rPr>
          <w:noProof/>
        </w:rPr>
        <w:drawing>
          <wp:inline distT="0" distB="0" distL="0" distR="0" wp14:anchorId="00961E8D" wp14:editId="29E71FF1">
            <wp:extent cx="446405" cy="540494"/>
            <wp:effectExtent l="0" t="0" r="0" b="571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l="11015" t="5614" r="11718" b="30383"/>
                    <a:stretch/>
                  </pic:blipFill>
                  <pic:spPr bwMode="auto">
                    <a:xfrm flipH="1">
                      <a:off x="0" y="0"/>
                      <a:ext cx="457810" cy="554303"/>
                    </a:xfrm>
                    <a:prstGeom prst="rect">
                      <a:avLst/>
                    </a:prstGeom>
                    <a:ln>
                      <a:noFill/>
                    </a:ln>
                    <a:extLst>
                      <a:ext uri="{53640926-AAD7-44D8-BBD7-CCE9431645EC}">
                        <a14:shadowObscured xmlns:a14="http://schemas.microsoft.com/office/drawing/2010/main"/>
                      </a:ext>
                    </a:extLst>
                  </pic:spPr>
                </pic:pic>
              </a:graphicData>
            </a:graphic>
          </wp:inline>
        </w:drawing>
      </w:r>
      <w:r w:rsidR="000642C6">
        <w:rPr>
          <w:noProof/>
        </w:rPr>
        <w:t xml:space="preserve">  </w:t>
      </w:r>
      <w:r w:rsidR="00A9710C">
        <w:rPr>
          <w:rFonts w:ascii="Arial"/>
          <w:color w:val="BF5A14"/>
        </w:rPr>
        <w:t>Biography</w:t>
      </w:r>
      <w:r w:rsidR="00404E5B">
        <w:rPr>
          <w:rFonts w:ascii="Arial"/>
          <w:color w:val="BF5A14"/>
        </w:rPr>
        <w:t xml:space="preserve"> (150 word limit)</w:t>
      </w:r>
    </w:p>
    <w:p w:rsidR="00AE3E37" w:rsidRDefault="008E293A">
      <w:pPr>
        <w:spacing w:before="41" w:line="154" w:lineRule="exact"/>
        <w:ind w:left="213" w:right="231"/>
        <w:jc w:val="both"/>
        <w:rPr>
          <w:rFonts w:ascii="Arial"/>
          <w:sz w:val="14"/>
        </w:rPr>
      </w:pPr>
      <w:r>
        <w:rPr>
          <w:rFonts w:ascii="Arial"/>
          <w:sz w:val="14"/>
        </w:rPr>
        <w:t xml:space="preserve">Ali Elsharkawi has his </w:t>
      </w:r>
      <w:r w:rsidR="00A9710C">
        <w:rPr>
          <w:rFonts w:ascii="Arial"/>
          <w:sz w:val="14"/>
        </w:rPr>
        <w:t xml:space="preserve">expertise in </w:t>
      </w:r>
      <w:r>
        <w:rPr>
          <w:rFonts w:ascii="Arial"/>
          <w:sz w:val="14"/>
        </w:rPr>
        <w:t xml:space="preserve">management of cardiology patients and he worked as a lecturer in the National Heart Institute in </w:t>
      </w:r>
      <w:r w:rsidR="00347623">
        <w:rPr>
          <w:rFonts w:ascii="Arial"/>
          <w:sz w:val="14"/>
        </w:rPr>
        <w:t>Egypt,</w:t>
      </w:r>
      <w:r>
        <w:rPr>
          <w:rFonts w:ascii="Arial"/>
          <w:sz w:val="14"/>
        </w:rPr>
        <w:t xml:space="preserve"> and currently working in Mouwasat Hospital in Riyadh, </w:t>
      </w:r>
      <w:r w:rsidR="00A03891">
        <w:rPr>
          <w:rFonts w:ascii="Arial"/>
          <w:sz w:val="14"/>
        </w:rPr>
        <w:t xml:space="preserve">he </w:t>
      </w:r>
      <w:r w:rsidR="000549DC">
        <w:rPr>
          <w:rFonts w:ascii="Arial"/>
          <w:sz w:val="14"/>
        </w:rPr>
        <w:t>holds</w:t>
      </w:r>
      <w:r w:rsidR="00A03891">
        <w:rPr>
          <w:rFonts w:ascii="Arial"/>
          <w:sz w:val="14"/>
        </w:rPr>
        <w:t xml:space="preserve"> the MD degree from Ainshams University in Egypt, </w:t>
      </w:r>
      <w:r>
        <w:rPr>
          <w:rFonts w:ascii="Arial"/>
          <w:sz w:val="14"/>
        </w:rPr>
        <w:t xml:space="preserve">he has a lot of publications and presentations in several conferences </w:t>
      </w:r>
      <w:r w:rsidR="00347623">
        <w:rPr>
          <w:rFonts w:ascii="Arial"/>
          <w:sz w:val="14"/>
        </w:rPr>
        <w:t>worldwide</w:t>
      </w:r>
      <w:r>
        <w:rPr>
          <w:rFonts w:ascii="Arial"/>
          <w:sz w:val="14"/>
        </w:rPr>
        <w:t xml:space="preserve">, he had clinical experience in working with physiological assessment </w:t>
      </w:r>
      <w:r w:rsidR="00347623">
        <w:rPr>
          <w:rFonts w:ascii="Arial"/>
          <w:sz w:val="14"/>
        </w:rPr>
        <w:t>devices,</w:t>
      </w:r>
      <w:r>
        <w:rPr>
          <w:rFonts w:ascii="Arial"/>
          <w:sz w:val="14"/>
        </w:rPr>
        <w:t xml:space="preserve"> he had an experience as an interventional cardiologist and device </w:t>
      </w:r>
      <w:r w:rsidR="00347623">
        <w:rPr>
          <w:rFonts w:ascii="Arial"/>
          <w:sz w:val="14"/>
        </w:rPr>
        <w:t>implant.</w:t>
      </w:r>
      <w:r w:rsidR="000E2911">
        <w:rPr>
          <w:rFonts w:ascii="Arial"/>
          <w:sz w:val="14"/>
        </w:rPr>
        <w:t xml:space="preserve"> </w:t>
      </w:r>
      <w:r>
        <w:rPr>
          <w:rFonts w:ascii="Arial"/>
          <w:sz w:val="14"/>
        </w:rPr>
        <w:t>H</w:t>
      </w:r>
      <w:r w:rsidR="00A9710C">
        <w:rPr>
          <w:rFonts w:ascii="Arial"/>
          <w:sz w:val="14"/>
        </w:rPr>
        <w:t>e</w:t>
      </w:r>
      <w:r w:rsidR="000E2911">
        <w:rPr>
          <w:rFonts w:ascii="Arial"/>
          <w:sz w:val="14"/>
        </w:rPr>
        <w:t xml:space="preserve"> </w:t>
      </w:r>
      <w:r w:rsidR="00A9710C">
        <w:rPr>
          <w:rFonts w:ascii="Arial"/>
          <w:sz w:val="14"/>
        </w:rPr>
        <w:t>has</w:t>
      </w:r>
      <w:r w:rsidR="000E2911">
        <w:rPr>
          <w:rFonts w:ascii="Arial"/>
          <w:sz w:val="14"/>
        </w:rPr>
        <w:t xml:space="preserve"> </w:t>
      </w:r>
      <w:r w:rsidR="00A9710C">
        <w:rPr>
          <w:rFonts w:ascii="Arial"/>
          <w:sz w:val="14"/>
        </w:rPr>
        <w:t>built</w:t>
      </w:r>
      <w:r w:rsidR="000E2911">
        <w:rPr>
          <w:rFonts w:ascii="Arial"/>
          <w:sz w:val="14"/>
        </w:rPr>
        <w:t xml:space="preserve"> </w:t>
      </w:r>
      <w:r w:rsidR="00A9710C">
        <w:rPr>
          <w:rFonts w:ascii="Arial"/>
          <w:sz w:val="14"/>
        </w:rPr>
        <w:t>this</w:t>
      </w:r>
      <w:r w:rsidR="000E2911">
        <w:rPr>
          <w:rFonts w:ascii="Arial"/>
          <w:sz w:val="14"/>
        </w:rPr>
        <w:t xml:space="preserve"> </w:t>
      </w:r>
      <w:r w:rsidR="00A9710C">
        <w:rPr>
          <w:rFonts w:ascii="Arial"/>
          <w:sz w:val="14"/>
        </w:rPr>
        <w:t>model</w:t>
      </w:r>
      <w:r w:rsidR="000E2911">
        <w:rPr>
          <w:rFonts w:ascii="Arial"/>
          <w:sz w:val="14"/>
        </w:rPr>
        <w:t xml:space="preserve"> </w:t>
      </w:r>
      <w:r w:rsidR="00A9710C">
        <w:rPr>
          <w:rFonts w:ascii="Arial"/>
          <w:sz w:val="14"/>
        </w:rPr>
        <w:t>after</w:t>
      </w:r>
      <w:r w:rsidR="000E2911">
        <w:rPr>
          <w:rFonts w:ascii="Arial"/>
          <w:sz w:val="14"/>
        </w:rPr>
        <w:t xml:space="preserve"> </w:t>
      </w:r>
      <w:r w:rsidR="00A9710C">
        <w:rPr>
          <w:rFonts w:ascii="Arial"/>
          <w:sz w:val="14"/>
        </w:rPr>
        <w:t>years</w:t>
      </w:r>
      <w:r w:rsidR="000E2911">
        <w:rPr>
          <w:rFonts w:ascii="Arial"/>
          <w:sz w:val="14"/>
        </w:rPr>
        <w:t xml:space="preserve"> </w:t>
      </w:r>
      <w:r w:rsidR="00A9710C">
        <w:rPr>
          <w:rFonts w:ascii="Arial"/>
          <w:sz w:val="14"/>
        </w:rPr>
        <w:t>of</w:t>
      </w:r>
      <w:r w:rsidR="000E2911">
        <w:rPr>
          <w:rFonts w:ascii="Arial"/>
          <w:sz w:val="14"/>
        </w:rPr>
        <w:t xml:space="preserve"> </w:t>
      </w:r>
      <w:r w:rsidR="00A9710C">
        <w:rPr>
          <w:rFonts w:ascii="Arial"/>
          <w:sz w:val="14"/>
        </w:rPr>
        <w:t>experience</w:t>
      </w:r>
      <w:r w:rsidR="000E2911">
        <w:rPr>
          <w:rFonts w:ascii="Arial"/>
          <w:sz w:val="14"/>
        </w:rPr>
        <w:t xml:space="preserve"> </w:t>
      </w:r>
      <w:r w:rsidR="00A9710C">
        <w:rPr>
          <w:rFonts w:ascii="Arial"/>
          <w:sz w:val="14"/>
        </w:rPr>
        <w:t>in</w:t>
      </w:r>
      <w:r w:rsidR="000E2911">
        <w:rPr>
          <w:rFonts w:ascii="Arial"/>
          <w:sz w:val="14"/>
        </w:rPr>
        <w:t xml:space="preserve"> </w:t>
      </w:r>
      <w:r w:rsidR="00A9710C">
        <w:rPr>
          <w:rFonts w:ascii="Arial"/>
          <w:sz w:val="14"/>
        </w:rPr>
        <w:t>research,</w:t>
      </w:r>
      <w:r w:rsidR="000E2911">
        <w:rPr>
          <w:rFonts w:ascii="Arial"/>
          <w:sz w:val="14"/>
        </w:rPr>
        <w:t xml:space="preserve"> </w:t>
      </w:r>
      <w:r w:rsidR="00A9710C">
        <w:rPr>
          <w:rFonts w:ascii="Arial"/>
          <w:sz w:val="14"/>
        </w:rPr>
        <w:t>evaluation,</w:t>
      </w:r>
      <w:r w:rsidR="000E2911">
        <w:rPr>
          <w:rFonts w:ascii="Arial"/>
          <w:sz w:val="14"/>
        </w:rPr>
        <w:t xml:space="preserve"> </w:t>
      </w:r>
      <w:r w:rsidR="00A9710C">
        <w:rPr>
          <w:rFonts w:ascii="Arial"/>
          <w:sz w:val="14"/>
        </w:rPr>
        <w:t>teaching</w:t>
      </w:r>
      <w:r w:rsidR="000E2911">
        <w:rPr>
          <w:rFonts w:ascii="Arial"/>
          <w:sz w:val="14"/>
        </w:rPr>
        <w:t xml:space="preserve"> </w:t>
      </w:r>
      <w:r w:rsidR="00A9710C">
        <w:rPr>
          <w:rFonts w:ascii="Arial"/>
          <w:sz w:val="14"/>
        </w:rPr>
        <w:t>and</w:t>
      </w:r>
      <w:r w:rsidR="000E2911">
        <w:rPr>
          <w:rFonts w:ascii="Arial"/>
          <w:sz w:val="14"/>
        </w:rPr>
        <w:t xml:space="preserve"> </w:t>
      </w:r>
      <w:r w:rsidR="00347623">
        <w:rPr>
          <w:rFonts w:ascii="Arial"/>
          <w:sz w:val="14"/>
        </w:rPr>
        <w:t>administration both</w:t>
      </w:r>
      <w:r w:rsidR="00A9710C">
        <w:rPr>
          <w:rFonts w:ascii="Arial"/>
          <w:sz w:val="14"/>
        </w:rPr>
        <w:t xml:space="preserve"> in hospital and education institutions.</w:t>
      </w:r>
      <w:r>
        <w:rPr>
          <w:rFonts w:ascii="Arial"/>
          <w:sz w:val="14"/>
        </w:rPr>
        <w:t xml:space="preserve"> He had been recognized </w:t>
      </w:r>
      <w:r w:rsidR="00347623">
        <w:rPr>
          <w:rFonts w:ascii="Arial"/>
          <w:sz w:val="14"/>
        </w:rPr>
        <w:t>locally</w:t>
      </w:r>
      <w:r>
        <w:rPr>
          <w:rFonts w:ascii="Arial"/>
          <w:sz w:val="14"/>
        </w:rPr>
        <w:t xml:space="preserve"> an expert in Cairo and </w:t>
      </w:r>
      <w:r w:rsidR="00347623">
        <w:rPr>
          <w:rFonts w:ascii="Arial"/>
          <w:sz w:val="14"/>
        </w:rPr>
        <w:t>Riyadh,</w:t>
      </w:r>
      <w:r>
        <w:rPr>
          <w:rFonts w:ascii="Arial"/>
          <w:sz w:val="14"/>
        </w:rPr>
        <w:t xml:space="preserve"> and he was th</w:t>
      </w:r>
      <w:r w:rsidR="00347623">
        <w:rPr>
          <w:rFonts w:ascii="Arial"/>
          <w:sz w:val="14"/>
        </w:rPr>
        <w:t>e director of several Cath labs in both countries</w:t>
      </w:r>
      <w:r w:rsidR="00A03891">
        <w:rPr>
          <w:rFonts w:ascii="Arial"/>
          <w:sz w:val="14"/>
        </w:rPr>
        <w:t>.</w:t>
      </w:r>
    </w:p>
    <w:p w:rsidR="00AE3E37" w:rsidRDefault="00A9710C">
      <w:pPr>
        <w:spacing w:before="62"/>
        <w:ind w:left="4217" w:right="4235"/>
        <w:jc w:val="center"/>
        <w:rPr>
          <w:rStyle w:val="Hyperlink"/>
          <w:rFonts w:ascii="Arial"/>
          <w:sz w:val="14"/>
        </w:rPr>
      </w:pPr>
      <w:r>
        <w:rPr>
          <w:rFonts w:ascii="Arial"/>
          <w:sz w:val="14"/>
        </w:rPr>
        <w:t xml:space="preserve">Email: </w:t>
      </w:r>
      <w:r w:rsidR="008E293A">
        <w:rPr>
          <w:rStyle w:val="Hyperlink"/>
          <w:rFonts w:ascii="Arial"/>
          <w:sz w:val="14"/>
        </w:rPr>
        <w:t>ali.elsharkawi@yahoo.com</w:t>
      </w:r>
    </w:p>
    <w:p w:rsidR="00827B1F" w:rsidRPr="00827B1F" w:rsidRDefault="00827B1F" w:rsidP="008E293A">
      <w:pPr>
        <w:spacing w:before="62"/>
        <w:ind w:left="3828" w:right="3886"/>
        <w:jc w:val="center"/>
        <w:rPr>
          <w:rFonts w:ascii="Arial"/>
          <w:sz w:val="14"/>
        </w:rPr>
      </w:pPr>
      <w:r w:rsidRPr="00827B1F">
        <w:rPr>
          <w:rStyle w:val="Hyperlink"/>
          <w:rFonts w:ascii="Arial"/>
          <w:color w:val="auto"/>
          <w:sz w:val="14"/>
          <w:u w:val="none"/>
        </w:rPr>
        <w:t xml:space="preserve">Phone: </w:t>
      </w:r>
      <w:r>
        <w:rPr>
          <w:rStyle w:val="Hyperlink"/>
          <w:rFonts w:ascii="Arial"/>
          <w:color w:val="auto"/>
          <w:sz w:val="14"/>
          <w:u w:val="none"/>
        </w:rPr>
        <w:t>+</w:t>
      </w:r>
      <w:r w:rsidR="008E293A">
        <w:rPr>
          <w:rStyle w:val="Hyperlink"/>
          <w:rFonts w:ascii="Arial"/>
          <w:color w:val="auto"/>
          <w:sz w:val="14"/>
          <w:u w:val="none"/>
        </w:rPr>
        <w:t>966543459768, +201140000922</w:t>
      </w:r>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084B7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" strokecolor="#004080" strokeweight=".5pt">
                <w10:wrap type="topAndBottom" anchorx="page"/>
              </v:line>
            </w:pict>
          </mc:Fallback>
        </mc:AlternateContent>
      </w:r>
    </w:p>
    <w:p w:rsidR="00AE3E37" w:rsidRDefault="00AE3E37">
      <w:pPr>
        <w:pStyle w:val="BodyText"/>
        <w:rPr>
          <w:rFonts w:ascii="Arial"/>
          <w:sz w:val="20"/>
        </w:rPr>
      </w:pPr>
    </w:p>
    <w:p w:rsidR="00AE3E37" w:rsidRPr="009D2F8C" w:rsidRDefault="008E293A" w:rsidP="009D2F8C">
      <w:pPr>
        <w:spacing w:before="39"/>
        <w:ind w:left="100"/>
        <w:rPr>
          <w:rFonts w:ascii="Minion Pro"/>
          <w:sz w:val="16"/>
        </w:rPr>
        <w:sectPr w:rsidR="00AE3E37" w:rsidRPr="009D2F8C">
          <w:type w:val="continuous"/>
          <w:pgSz w:w="11910" w:h="16840"/>
          <w:pgMar w:top="1740" w:right="600" w:bottom="840" w:left="620" w:header="720" w:footer="720" w:gutter="0"/>
          <w:cols w:space="720"/>
        </w:sectPr>
      </w:pPr>
      <w:r>
        <w:rPr>
          <w:rFonts w:ascii="Minion Pro"/>
          <w:sz w:val="16"/>
        </w:rPr>
        <w:t>.</w:t>
      </w: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63389" w:rsidRDefault="00A63389">
      <w:r>
        <w:separator/>
      </w:r>
    </w:p>
  </w:endnote>
  <w:endnote w:type="continuationSeparator" w:id="0">
    <w:p w:rsidR="00A63389" w:rsidRDefault="00A633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20B0604020202020204"/>
    <w:charset w:val="00"/>
    <w:family w:val="roman"/>
    <w:notTrueType/>
    <w:pitch w:val="variable"/>
    <w:sig w:usb0="00000001" w:usb1="00000001" w:usb2="00000000" w:usb3="00000000" w:csb0="0000019F" w:csb1="00000000"/>
  </w:font>
  <w:font w:name="Tahoma">
    <w:panose1 w:val="020B0604030504040204"/>
    <w:charset w:val="00"/>
    <w:family w:val="swiss"/>
    <w:pitch w:val="variable"/>
    <w:sig w:usb0="00000003" w:usb1="00000000" w:usb2="00000000" w:usb3="00000000" w:csb0="00000001" w:csb1="00000000"/>
  </w:font>
  <w:font w:name="Helvetica Neue">
    <w:panose1 w:val="02000503000000020004"/>
    <w:charset w:val="00"/>
    <w:family w:val="auto"/>
    <w:pitch w:val="variable"/>
    <w:sig w:usb0="E50002FF" w:usb1="500079DB" w:usb2="0000001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AE3E37">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63389" w:rsidRDefault="00A63389">
      <w:r>
        <w:separator/>
      </w:r>
    </w:p>
  </w:footnote>
  <w:footnote w:type="continuationSeparator" w:id="0">
    <w:p w:rsidR="00A63389" w:rsidRDefault="00A633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D2F8C" w:rsidRDefault="009D2F8C">
    <w:pPr>
      <w:pStyle w:val="Header"/>
    </w:pPr>
    <w:r>
      <w:rPr>
        <w:noProof/>
      </w:rPr>
      <w:drawing>
        <wp:inline distT="0" distB="0" distL="0" distR="0" wp14:anchorId="34BF1734" wp14:editId="21E9F3D1">
          <wp:extent cx="5731510" cy="910954"/>
          <wp:effectExtent l="0" t="0" r="2540" b="3810"/>
          <wp:docPr id="3" name="Picture 3" descr="C:\Users\cardiac\Desktop\HEART BRAIN 2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ardiac\Desktop\HEART BRAIN 2018.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31510" cy="910954"/>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39006C87"/>
    <w:multiLevelType w:val="multilevel"/>
    <w:tmpl w:val="AF0E40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8"/>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549DC"/>
    <w:rsid w:val="000642C6"/>
    <w:rsid w:val="00065718"/>
    <w:rsid w:val="000C7A39"/>
    <w:rsid w:val="000D5F7F"/>
    <w:rsid w:val="000E2911"/>
    <w:rsid w:val="000F7498"/>
    <w:rsid w:val="001263DF"/>
    <w:rsid w:val="00181257"/>
    <w:rsid w:val="002220FB"/>
    <w:rsid w:val="00292ED9"/>
    <w:rsid w:val="002D320D"/>
    <w:rsid w:val="00347623"/>
    <w:rsid w:val="003A3766"/>
    <w:rsid w:val="00404E5B"/>
    <w:rsid w:val="00414F7B"/>
    <w:rsid w:val="004355DC"/>
    <w:rsid w:val="004749B4"/>
    <w:rsid w:val="00494130"/>
    <w:rsid w:val="004F3523"/>
    <w:rsid w:val="005973B9"/>
    <w:rsid w:val="005B3A56"/>
    <w:rsid w:val="006009B8"/>
    <w:rsid w:val="006060CE"/>
    <w:rsid w:val="0063497F"/>
    <w:rsid w:val="006910C5"/>
    <w:rsid w:val="00827B1F"/>
    <w:rsid w:val="00873DF0"/>
    <w:rsid w:val="008756E6"/>
    <w:rsid w:val="008E293A"/>
    <w:rsid w:val="009B2D44"/>
    <w:rsid w:val="009D2F8C"/>
    <w:rsid w:val="00A03891"/>
    <w:rsid w:val="00A07E82"/>
    <w:rsid w:val="00A63389"/>
    <w:rsid w:val="00A9710C"/>
    <w:rsid w:val="00AB0AC4"/>
    <w:rsid w:val="00AE3E37"/>
    <w:rsid w:val="00B21A57"/>
    <w:rsid w:val="00BD6E58"/>
    <w:rsid w:val="00C33602"/>
    <w:rsid w:val="00C53574"/>
    <w:rsid w:val="00CC00DB"/>
    <w:rsid w:val="00CD6F55"/>
    <w:rsid w:val="00DE3104"/>
    <w:rsid w:val="00E029EB"/>
    <w:rsid w:val="00E273DB"/>
    <w:rsid w:val="00E56CAF"/>
    <w:rsid w:val="00F72EEA"/>
    <w:rsid w:val="00F73510"/>
    <w:rsid w:val="00F84CAE"/>
    <w:rsid w:val="00F96AA8"/>
    <w:rsid w:val="00FB242F"/>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84879BB"/>
  <w15:docId w15:val="{7C2563FF-874E-5A4E-A5A3-53C9B88698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apple-converted-space">
    <w:name w:val="apple-converted-space"/>
    <w:basedOn w:val="DefaultParagraphFont"/>
    <w:rsid w:val="00E56CAF"/>
  </w:style>
  <w:style w:type="character" w:styleId="HTMLCite">
    <w:name w:val="HTML Cite"/>
    <w:basedOn w:val="DefaultParagraphFont"/>
    <w:uiPriority w:val="99"/>
    <w:semiHidden/>
    <w:unhideWhenUsed/>
    <w:rsid w:val="00E56CAF"/>
    <w:rPr>
      <w:i/>
      <w:iCs/>
    </w:rPr>
  </w:style>
  <w:style w:type="character" w:customStyle="1" w:styleId="reference-accessdate">
    <w:name w:val="reference-accessdate"/>
    <w:basedOn w:val="DefaultParagraphFont"/>
    <w:rsid w:val="00E56CAF"/>
  </w:style>
  <w:style w:type="character" w:customStyle="1" w:styleId="nowrap">
    <w:name w:val="nowrap"/>
    <w:basedOn w:val="DefaultParagraphFont"/>
    <w:rsid w:val="00E56CAF"/>
  </w:style>
  <w:style w:type="character" w:customStyle="1" w:styleId="mw-cite-backlink">
    <w:name w:val="mw-cite-backlink"/>
    <w:basedOn w:val="DefaultParagraphFont"/>
    <w:rsid w:val="00E56CAF"/>
  </w:style>
  <w:style w:type="character" w:customStyle="1" w:styleId="cite-accessibility-label">
    <w:name w:val="cite-accessibility-label"/>
    <w:basedOn w:val="DefaultParagraphFont"/>
    <w:rsid w:val="00E56CAF"/>
  </w:style>
  <w:style w:type="character" w:customStyle="1" w:styleId="plainlinks">
    <w:name w:val="plainlinks"/>
    <w:basedOn w:val="DefaultParagraphFont"/>
    <w:rsid w:val="00E56CAF"/>
  </w:style>
  <w:style w:type="character" w:styleId="FollowedHyperlink">
    <w:name w:val="FollowedHyperlink"/>
    <w:basedOn w:val="DefaultParagraphFont"/>
    <w:uiPriority w:val="99"/>
    <w:semiHidden/>
    <w:unhideWhenUsed/>
    <w:rsid w:val="00FB242F"/>
    <w:rPr>
      <w:color w:val="800080" w:themeColor="followedHyperlink"/>
      <w:u w:val="single"/>
    </w:rPr>
  </w:style>
  <w:style w:type="character" w:styleId="Emphasis">
    <w:name w:val="Emphasis"/>
    <w:basedOn w:val="DefaultParagraphFont"/>
    <w:uiPriority w:val="20"/>
    <w:qFormat/>
    <w:rsid w:val="00FB242F"/>
    <w:rPr>
      <w:i/>
      <w:iCs/>
    </w:rPr>
  </w:style>
  <w:style w:type="character" w:styleId="Strong">
    <w:name w:val="Strong"/>
    <w:basedOn w:val="DefaultParagraphFont"/>
    <w:uiPriority w:val="22"/>
    <w:qFormat/>
    <w:rsid w:val="00FB242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5657670">
      <w:bodyDiv w:val="1"/>
      <w:marLeft w:val="0"/>
      <w:marRight w:val="0"/>
      <w:marTop w:val="0"/>
      <w:marBottom w:val="0"/>
      <w:divBdr>
        <w:top w:val="none" w:sz="0" w:space="0" w:color="auto"/>
        <w:left w:val="none" w:sz="0" w:space="0" w:color="auto"/>
        <w:bottom w:val="none" w:sz="0" w:space="0" w:color="auto"/>
        <w:right w:val="none" w:sz="0" w:space="0" w:color="auto"/>
      </w:divBdr>
    </w:div>
    <w:div w:id="339936283">
      <w:bodyDiv w:val="1"/>
      <w:marLeft w:val="0"/>
      <w:marRight w:val="0"/>
      <w:marTop w:val="0"/>
      <w:marBottom w:val="0"/>
      <w:divBdr>
        <w:top w:val="none" w:sz="0" w:space="0" w:color="auto"/>
        <w:left w:val="none" w:sz="0" w:space="0" w:color="auto"/>
        <w:bottom w:val="none" w:sz="0" w:space="0" w:color="auto"/>
        <w:right w:val="none" w:sz="0" w:space="0" w:color="auto"/>
      </w:divBdr>
      <w:divsChild>
        <w:div w:id="878013592">
          <w:marLeft w:val="0"/>
          <w:marRight w:val="0"/>
          <w:marTop w:val="0"/>
          <w:marBottom w:val="0"/>
          <w:divBdr>
            <w:top w:val="none" w:sz="0" w:space="0" w:color="auto"/>
            <w:left w:val="none" w:sz="0" w:space="0" w:color="auto"/>
            <w:bottom w:val="none" w:sz="0" w:space="0" w:color="auto"/>
            <w:right w:val="none" w:sz="0" w:space="0" w:color="auto"/>
          </w:divBdr>
        </w:div>
        <w:div w:id="566495914">
          <w:marLeft w:val="0"/>
          <w:marRight w:val="0"/>
          <w:marTop w:val="0"/>
          <w:marBottom w:val="0"/>
          <w:divBdr>
            <w:top w:val="none" w:sz="0" w:space="0" w:color="auto"/>
            <w:left w:val="none" w:sz="0" w:space="0" w:color="auto"/>
            <w:bottom w:val="none" w:sz="0" w:space="0" w:color="auto"/>
            <w:right w:val="none" w:sz="0" w:space="0" w:color="auto"/>
          </w:divBdr>
        </w:div>
      </w:divsChild>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586421502">
      <w:bodyDiv w:val="1"/>
      <w:marLeft w:val="0"/>
      <w:marRight w:val="0"/>
      <w:marTop w:val="0"/>
      <w:marBottom w:val="0"/>
      <w:divBdr>
        <w:top w:val="none" w:sz="0" w:space="0" w:color="auto"/>
        <w:left w:val="none" w:sz="0" w:space="0" w:color="auto"/>
        <w:bottom w:val="none" w:sz="0" w:space="0" w:color="auto"/>
        <w:right w:val="none" w:sz="0" w:space="0" w:color="auto"/>
      </w:divBdr>
      <w:divsChild>
        <w:div w:id="164059029">
          <w:marLeft w:val="0"/>
          <w:marRight w:val="0"/>
          <w:marTop w:val="0"/>
          <w:marBottom w:val="0"/>
          <w:divBdr>
            <w:top w:val="none" w:sz="0" w:space="0" w:color="auto"/>
            <w:left w:val="none" w:sz="0" w:space="0" w:color="auto"/>
            <w:bottom w:val="none" w:sz="0" w:space="0" w:color="auto"/>
            <w:right w:val="none" w:sz="0" w:space="0" w:color="auto"/>
          </w:divBdr>
        </w:div>
        <w:div w:id="74404180">
          <w:marLeft w:val="0"/>
          <w:marRight w:val="0"/>
          <w:marTop w:val="0"/>
          <w:marBottom w:val="0"/>
          <w:divBdr>
            <w:top w:val="none" w:sz="0" w:space="0" w:color="auto"/>
            <w:left w:val="none" w:sz="0" w:space="0" w:color="auto"/>
            <w:bottom w:val="none" w:sz="0" w:space="0" w:color="auto"/>
            <w:right w:val="none" w:sz="0" w:space="0" w:color="auto"/>
          </w:divBdr>
        </w:div>
      </w:divsChild>
    </w:div>
    <w:div w:id="643894184">
      <w:bodyDiv w:val="1"/>
      <w:marLeft w:val="0"/>
      <w:marRight w:val="0"/>
      <w:marTop w:val="0"/>
      <w:marBottom w:val="0"/>
      <w:divBdr>
        <w:top w:val="none" w:sz="0" w:space="0" w:color="auto"/>
        <w:left w:val="none" w:sz="0" w:space="0" w:color="auto"/>
        <w:bottom w:val="none" w:sz="0" w:space="0" w:color="auto"/>
        <w:right w:val="none" w:sz="0" w:space="0" w:color="auto"/>
      </w:divBdr>
      <w:divsChild>
        <w:div w:id="1116607831">
          <w:marLeft w:val="0"/>
          <w:marRight w:val="0"/>
          <w:marTop w:val="0"/>
          <w:marBottom w:val="0"/>
          <w:divBdr>
            <w:top w:val="none" w:sz="0" w:space="0" w:color="auto"/>
            <w:left w:val="none" w:sz="0" w:space="0" w:color="auto"/>
            <w:bottom w:val="none" w:sz="0" w:space="0" w:color="auto"/>
            <w:right w:val="none" w:sz="0" w:space="0" w:color="auto"/>
          </w:divBdr>
        </w:div>
        <w:div w:id="1162547909">
          <w:marLeft w:val="0"/>
          <w:marRight w:val="0"/>
          <w:marTop w:val="0"/>
          <w:marBottom w:val="0"/>
          <w:divBdr>
            <w:top w:val="none" w:sz="0" w:space="0" w:color="auto"/>
            <w:left w:val="none" w:sz="0" w:space="0" w:color="auto"/>
            <w:bottom w:val="none" w:sz="0" w:space="0" w:color="auto"/>
            <w:right w:val="none" w:sz="0" w:space="0" w:color="auto"/>
          </w:divBdr>
        </w:div>
      </w:divsChild>
    </w:div>
    <w:div w:id="1078479777">
      <w:bodyDiv w:val="1"/>
      <w:marLeft w:val="0"/>
      <w:marRight w:val="0"/>
      <w:marTop w:val="0"/>
      <w:marBottom w:val="0"/>
      <w:divBdr>
        <w:top w:val="none" w:sz="0" w:space="0" w:color="auto"/>
        <w:left w:val="none" w:sz="0" w:space="0" w:color="auto"/>
        <w:bottom w:val="none" w:sz="0" w:space="0" w:color="auto"/>
        <w:right w:val="none" w:sz="0" w:space="0" w:color="auto"/>
      </w:divBdr>
    </w:div>
    <w:div w:id="1186402826">
      <w:bodyDiv w:val="1"/>
      <w:marLeft w:val="0"/>
      <w:marRight w:val="0"/>
      <w:marTop w:val="0"/>
      <w:marBottom w:val="0"/>
      <w:divBdr>
        <w:top w:val="none" w:sz="0" w:space="0" w:color="auto"/>
        <w:left w:val="none" w:sz="0" w:space="0" w:color="auto"/>
        <w:bottom w:val="none" w:sz="0" w:space="0" w:color="auto"/>
        <w:right w:val="none" w:sz="0" w:space="0" w:color="auto"/>
      </w:divBdr>
      <w:divsChild>
        <w:div w:id="531041835">
          <w:marLeft w:val="0"/>
          <w:marRight w:val="0"/>
          <w:marTop w:val="0"/>
          <w:marBottom w:val="0"/>
          <w:divBdr>
            <w:top w:val="none" w:sz="0" w:space="0" w:color="auto"/>
            <w:left w:val="none" w:sz="0" w:space="0" w:color="auto"/>
            <w:bottom w:val="none" w:sz="0" w:space="0" w:color="auto"/>
            <w:right w:val="none" w:sz="0" w:space="0" w:color="auto"/>
          </w:divBdr>
        </w:div>
        <w:div w:id="128674131">
          <w:marLeft w:val="0"/>
          <w:marRight w:val="0"/>
          <w:marTop w:val="0"/>
          <w:marBottom w:val="0"/>
          <w:divBdr>
            <w:top w:val="none" w:sz="0" w:space="0" w:color="auto"/>
            <w:left w:val="none" w:sz="0" w:space="0" w:color="auto"/>
            <w:bottom w:val="none" w:sz="0" w:space="0" w:color="auto"/>
            <w:right w:val="none" w:sz="0" w:space="0" w:color="auto"/>
          </w:divBdr>
        </w:div>
      </w:divsChild>
    </w:div>
    <w:div w:id="1334646050">
      <w:bodyDiv w:val="1"/>
      <w:marLeft w:val="0"/>
      <w:marRight w:val="0"/>
      <w:marTop w:val="0"/>
      <w:marBottom w:val="0"/>
      <w:divBdr>
        <w:top w:val="none" w:sz="0" w:space="0" w:color="auto"/>
        <w:left w:val="none" w:sz="0" w:space="0" w:color="auto"/>
        <w:bottom w:val="none" w:sz="0" w:space="0" w:color="auto"/>
        <w:right w:val="none" w:sz="0" w:space="0" w:color="auto"/>
      </w:divBdr>
      <w:divsChild>
        <w:div w:id="1845436264">
          <w:marLeft w:val="0"/>
          <w:marRight w:val="0"/>
          <w:marTop w:val="0"/>
          <w:marBottom w:val="0"/>
          <w:divBdr>
            <w:top w:val="none" w:sz="0" w:space="0" w:color="auto"/>
            <w:left w:val="none" w:sz="0" w:space="0" w:color="auto"/>
            <w:bottom w:val="none" w:sz="0" w:space="0" w:color="auto"/>
            <w:right w:val="none" w:sz="0" w:space="0" w:color="auto"/>
          </w:divBdr>
        </w:div>
        <w:div w:id="2008482314">
          <w:marLeft w:val="0"/>
          <w:marRight w:val="0"/>
          <w:marTop w:val="0"/>
          <w:marBottom w:val="0"/>
          <w:divBdr>
            <w:top w:val="none" w:sz="0" w:space="0" w:color="auto"/>
            <w:left w:val="none" w:sz="0" w:space="0" w:color="auto"/>
            <w:bottom w:val="none" w:sz="0" w:space="0" w:color="auto"/>
            <w:right w:val="none" w:sz="0" w:space="0" w:color="auto"/>
          </w:divBdr>
        </w:div>
      </w:divsChild>
    </w:div>
    <w:div w:id="1357193516">
      <w:bodyDiv w:val="1"/>
      <w:marLeft w:val="0"/>
      <w:marRight w:val="0"/>
      <w:marTop w:val="0"/>
      <w:marBottom w:val="0"/>
      <w:divBdr>
        <w:top w:val="none" w:sz="0" w:space="0" w:color="auto"/>
        <w:left w:val="none" w:sz="0" w:space="0" w:color="auto"/>
        <w:bottom w:val="none" w:sz="0" w:space="0" w:color="auto"/>
        <w:right w:val="none" w:sz="0" w:space="0" w:color="auto"/>
      </w:divBdr>
    </w:div>
    <w:div w:id="143952045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68686634">
      <w:bodyDiv w:val="1"/>
      <w:marLeft w:val="0"/>
      <w:marRight w:val="0"/>
      <w:marTop w:val="0"/>
      <w:marBottom w:val="0"/>
      <w:divBdr>
        <w:top w:val="none" w:sz="0" w:space="0" w:color="auto"/>
        <w:left w:val="none" w:sz="0" w:space="0" w:color="auto"/>
        <w:bottom w:val="none" w:sz="0" w:space="0" w:color="auto"/>
        <w:right w:val="none" w:sz="0" w:space="0" w:color="auto"/>
      </w:divBdr>
    </w:div>
    <w:div w:id="1608854903">
      <w:bodyDiv w:val="1"/>
      <w:marLeft w:val="0"/>
      <w:marRight w:val="0"/>
      <w:marTop w:val="0"/>
      <w:marBottom w:val="0"/>
      <w:divBdr>
        <w:top w:val="none" w:sz="0" w:space="0" w:color="auto"/>
        <w:left w:val="none" w:sz="0" w:space="0" w:color="auto"/>
        <w:bottom w:val="none" w:sz="0" w:space="0" w:color="auto"/>
        <w:right w:val="none" w:sz="0" w:space="0" w:color="auto"/>
      </w:divBdr>
      <w:divsChild>
        <w:div w:id="1019236823">
          <w:marLeft w:val="0"/>
          <w:marRight w:val="0"/>
          <w:marTop w:val="0"/>
          <w:marBottom w:val="0"/>
          <w:divBdr>
            <w:top w:val="none" w:sz="0" w:space="0" w:color="auto"/>
            <w:left w:val="none" w:sz="0" w:space="0" w:color="auto"/>
            <w:bottom w:val="none" w:sz="0" w:space="0" w:color="auto"/>
            <w:right w:val="none" w:sz="0" w:space="0" w:color="auto"/>
          </w:divBdr>
        </w:div>
        <w:div w:id="991564810">
          <w:marLeft w:val="0"/>
          <w:marRight w:val="0"/>
          <w:marTop w:val="0"/>
          <w:marBottom w:val="0"/>
          <w:divBdr>
            <w:top w:val="none" w:sz="0" w:space="0" w:color="auto"/>
            <w:left w:val="none" w:sz="0" w:space="0" w:color="auto"/>
            <w:bottom w:val="none" w:sz="0" w:space="0" w:color="auto"/>
            <w:right w:val="none" w:sz="0" w:space="0" w:color="auto"/>
          </w:divBdr>
        </w:div>
      </w:divsChild>
    </w:div>
    <w:div w:id="1617716043">
      <w:bodyDiv w:val="1"/>
      <w:marLeft w:val="0"/>
      <w:marRight w:val="0"/>
      <w:marTop w:val="0"/>
      <w:marBottom w:val="0"/>
      <w:divBdr>
        <w:top w:val="none" w:sz="0" w:space="0" w:color="auto"/>
        <w:left w:val="none" w:sz="0" w:space="0" w:color="auto"/>
        <w:bottom w:val="none" w:sz="0" w:space="0" w:color="auto"/>
        <w:right w:val="none" w:sz="0" w:space="0" w:color="auto"/>
      </w:divBdr>
      <w:divsChild>
        <w:div w:id="492334387">
          <w:marLeft w:val="0"/>
          <w:marRight w:val="0"/>
          <w:marTop w:val="0"/>
          <w:marBottom w:val="0"/>
          <w:divBdr>
            <w:top w:val="none" w:sz="0" w:space="0" w:color="auto"/>
            <w:left w:val="none" w:sz="0" w:space="0" w:color="auto"/>
            <w:bottom w:val="none" w:sz="0" w:space="0" w:color="auto"/>
            <w:right w:val="none" w:sz="0" w:space="0" w:color="auto"/>
          </w:divBdr>
        </w:div>
        <w:div w:id="1650745370">
          <w:marLeft w:val="0"/>
          <w:marRight w:val="0"/>
          <w:marTop w:val="0"/>
          <w:marBottom w:val="0"/>
          <w:divBdr>
            <w:top w:val="none" w:sz="0" w:space="0" w:color="auto"/>
            <w:left w:val="none" w:sz="0" w:space="0" w:color="auto"/>
            <w:bottom w:val="none" w:sz="0" w:space="0" w:color="auto"/>
            <w:right w:val="none" w:sz="0" w:space="0" w:color="auto"/>
          </w:divBdr>
        </w:div>
      </w:divsChild>
    </w:div>
    <w:div w:id="1707101321">
      <w:bodyDiv w:val="1"/>
      <w:marLeft w:val="0"/>
      <w:marRight w:val="0"/>
      <w:marTop w:val="0"/>
      <w:marBottom w:val="0"/>
      <w:divBdr>
        <w:top w:val="none" w:sz="0" w:space="0" w:color="auto"/>
        <w:left w:val="none" w:sz="0" w:space="0" w:color="auto"/>
        <w:bottom w:val="none" w:sz="0" w:space="0" w:color="auto"/>
        <w:right w:val="none" w:sz="0" w:space="0" w:color="auto"/>
      </w:divBdr>
      <w:divsChild>
        <w:div w:id="706223189">
          <w:marLeft w:val="0"/>
          <w:marRight w:val="0"/>
          <w:marTop w:val="0"/>
          <w:marBottom w:val="0"/>
          <w:divBdr>
            <w:top w:val="none" w:sz="0" w:space="0" w:color="auto"/>
            <w:left w:val="none" w:sz="0" w:space="0" w:color="auto"/>
            <w:bottom w:val="none" w:sz="0" w:space="0" w:color="auto"/>
            <w:right w:val="none" w:sz="0" w:space="0" w:color="auto"/>
          </w:divBdr>
        </w:div>
        <w:div w:id="58945453">
          <w:marLeft w:val="0"/>
          <w:marRight w:val="0"/>
          <w:marTop w:val="0"/>
          <w:marBottom w:val="0"/>
          <w:divBdr>
            <w:top w:val="none" w:sz="0" w:space="0" w:color="auto"/>
            <w:left w:val="none" w:sz="0" w:space="0" w:color="auto"/>
            <w:bottom w:val="none" w:sz="0" w:space="0" w:color="auto"/>
            <w:right w:val="none" w:sz="0" w:space="0" w:color="auto"/>
          </w:divBdr>
        </w:div>
      </w:divsChild>
    </w:div>
    <w:div w:id="1849829441">
      <w:bodyDiv w:val="1"/>
      <w:marLeft w:val="0"/>
      <w:marRight w:val="0"/>
      <w:marTop w:val="0"/>
      <w:marBottom w:val="0"/>
      <w:divBdr>
        <w:top w:val="none" w:sz="0" w:space="0" w:color="auto"/>
        <w:left w:val="none" w:sz="0" w:space="0" w:color="auto"/>
        <w:bottom w:val="none" w:sz="0" w:space="0" w:color="auto"/>
        <w:right w:val="none" w:sz="0" w:space="0" w:color="auto"/>
      </w:divBdr>
    </w:div>
    <w:div w:id="1860510726">
      <w:bodyDiv w:val="1"/>
      <w:marLeft w:val="0"/>
      <w:marRight w:val="0"/>
      <w:marTop w:val="0"/>
      <w:marBottom w:val="0"/>
      <w:divBdr>
        <w:top w:val="none" w:sz="0" w:space="0" w:color="auto"/>
        <w:left w:val="none" w:sz="0" w:space="0" w:color="auto"/>
        <w:bottom w:val="none" w:sz="0" w:space="0" w:color="auto"/>
        <w:right w:val="none" w:sz="0" w:space="0" w:color="auto"/>
      </w:divBdr>
    </w:div>
    <w:div w:id="1908415305">
      <w:bodyDiv w:val="1"/>
      <w:marLeft w:val="0"/>
      <w:marRight w:val="0"/>
      <w:marTop w:val="0"/>
      <w:marBottom w:val="0"/>
      <w:divBdr>
        <w:top w:val="none" w:sz="0" w:space="0" w:color="auto"/>
        <w:left w:val="none" w:sz="0" w:space="0" w:color="auto"/>
        <w:bottom w:val="none" w:sz="0" w:space="0" w:color="auto"/>
        <w:right w:val="none" w:sz="0" w:space="0" w:color="auto"/>
      </w:divBdr>
    </w:div>
    <w:div w:id="1999379273">
      <w:bodyDiv w:val="1"/>
      <w:marLeft w:val="0"/>
      <w:marRight w:val="0"/>
      <w:marTop w:val="0"/>
      <w:marBottom w:val="0"/>
      <w:divBdr>
        <w:top w:val="none" w:sz="0" w:space="0" w:color="auto"/>
        <w:left w:val="none" w:sz="0" w:space="0" w:color="auto"/>
        <w:bottom w:val="none" w:sz="0" w:space="0" w:color="auto"/>
        <w:right w:val="none" w:sz="0" w:space="0" w:color="auto"/>
      </w:divBdr>
      <w:divsChild>
        <w:div w:id="869614073">
          <w:marLeft w:val="0"/>
          <w:marRight w:val="0"/>
          <w:marTop w:val="0"/>
          <w:marBottom w:val="0"/>
          <w:divBdr>
            <w:top w:val="none" w:sz="0" w:space="0" w:color="auto"/>
            <w:left w:val="none" w:sz="0" w:space="0" w:color="auto"/>
            <w:bottom w:val="none" w:sz="0" w:space="0" w:color="auto"/>
            <w:right w:val="none" w:sz="0" w:space="0" w:color="auto"/>
          </w:divBdr>
        </w:div>
        <w:div w:id="298926962">
          <w:marLeft w:val="0"/>
          <w:marRight w:val="0"/>
          <w:marTop w:val="0"/>
          <w:marBottom w:val="0"/>
          <w:divBdr>
            <w:top w:val="none" w:sz="0" w:space="0" w:color="auto"/>
            <w:left w:val="none" w:sz="0" w:space="0" w:color="auto"/>
            <w:bottom w:val="none" w:sz="0" w:space="0" w:color="auto"/>
            <w:right w:val="none" w:sz="0" w:space="0" w:color="auto"/>
          </w:divBdr>
        </w:div>
      </w:divsChild>
    </w:div>
    <w:div w:id="213774915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tif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tiff"/><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CB54B8-55D9-094A-8279-AA6C555310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2</Pages>
  <Words>796</Words>
  <Characters>4786</Characters>
  <Application>Microsoft Office Word</Application>
  <DocSecurity>0</DocSecurity>
  <Lines>97</Lines>
  <Paragraphs>25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Ali</cp:lastModifiedBy>
  <cp:revision>4</cp:revision>
  <dcterms:created xsi:type="dcterms:W3CDTF">2018-05-28T20:35:00Z</dcterms:created>
  <dcterms:modified xsi:type="dcterms:W3CDTF">2018-05-28T23:12:00Z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