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CCCCCC" w:sz="6" w:space="0"/>
          <w:right w:val="none" w:color="auto" w:sz="0" w:space="0"/>
        </w:pBdr>
        <w:shd w:val="clear" w:fill="FFFFFF"/>
        <w:spacing w:before="225" w:beforeAutospacing="0" w:after="180" w:afterAutospacing="0" w:line="450" w:lineRule="atLeast"/>
        <w:ind w:left="0" w:right="0" w:firstLine="0"/>
        <w:jc w:val="left"/>
        <w:rPr>
          <w:rFonts w:hint="default" w:ascii="Times New Roman" w:hAnsi="Times New Roman" w:cs="Times New Roman"/>
          <w:b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Times New Roman" w:hAnsi="Times New Roman" w:cs="Times New Roman"/>
          <w:b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ABSTRACT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45" w:lineRule="atLeast"/>
        <w:ind w:left="0" w:right="0" w:firstLine="0"/>
        <w:jc w:val="both"/>
        <w:rPr>
          <w:rFonts w:hint="default" w:ascii="Times New Roman" w:hAnsi="Times New Roman" w:eastAsia="SimSun" w:cs="Times New Roman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45" w:lineRule="atLeast"/>
        <w:ind w:left="0" w:right="0" w:firstLine="0"/>
        <w:jc w:val="both"/>
        <w:rPr>
          <w:rFonts w:hint="default" w:ascii="Times New Roman" w:hAnsi="Times New Roman" w:eastAsia="SimSun" w:cs="Times New Roman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  <w:lang w:val="en-US"/>
        </w:rPr>
        <w:t>Christos Simoglou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45" w:lineRule="atLeast"/>
        <w:ind w:left="0" w:right="0" w:firstLine="0"/>
        <w:jc w:val="both"/>
        <w:rPr>
          <w:rFonts w:hint="default" w:ascii="Times New Roman" w:hAnsi="Times New Roman" w:eastAsia="SimSun" w:cs="Times New Roman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45" w:lineRule="atLeast"/>
        <w:ind w:left="0" w:right="0" w:firstLine="0"/>
        <w:jc w:val="both"/>
        <w:rPr>
          <w:rFonts w:hint="default" w:ascii="Times New Roman" w:hAnsi="Times New Roman" w:eastAsia="SimSun" w:cs="Times New Roman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</w:rPr>
        <w:t>Department of Cardiothoracic Surgery, University General Hospital of Evros, Democritus University of Thrace, Komotini, Greece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45" w:lineRule="atLeast"/>
        <w:ind w:left="0" w:right="0" w:firstLine="0"/>
        <w:jc w:val="both"/>
        <w:rPr>
          <w:rFonts w:hint="default" w:ascii="Times New Roman" w:hAnsi="Times New Roman" w:eastAsia="SimSun" w:cs="Times New Roman"/>
          <w:b w:val="0"/>
          <w:bCs w:val="0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45" w:lineRule="atLeast"/>
        <w:ind w:left="0" w:right="0" w:firstLine="0"/>
        <w:jc w:val="both"/>
        <w:rPr>
          <w:rFonts w:hint="default" w:ascii="Times New Roman" w:hAnsi="Times New Roman" w:cs="Times New Roman"/>
          <w:b/>
          <w:i w:val="0"/>
          <w:caps w:val="0"/>
          <w:color w:val="auto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b/>
          <w:i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Background: Acute aortic dissection is a common life-threatening disorder affecting the aorta. The immediate mortality rate in aortic dissection is as high as 1% per hour over the first several hours, making early diagnosis and treatment critical for survival. Case presentation: We are presenting a case of Stanford Type A aortic dissection in a 58-year-old male patient with a history of hypertension. He arrived at the emergency department (ED) with diagnosed acute coronary syndrome a few hours after a sudden and severe worsening of his epigastric pain. Interesting case where the dissection starts from the orifice of the right coronary artery, occupies the aortic valve. Conclusion: Predictors of follow-up this cause mortality reflect patient history variables as opposed to in-hos- pital parameters or in-hospital complications, which may be explained by the successful in-hos- pital treatment of the acute dissection.</w:t>
      </w:r>
    </w:p>
    <w:p>
      <w:pPr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roman"/>
    <w:pitch w:val="variable"/>
    <w:sig w:usb0="00000003" w:usb1="288F0000" w:usb2="00000006" w:usb3="00000000" w:csb0="00040001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decorative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swiss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SimSun">
    <w:panose1 w:val="02010600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0E4BB8"/>
    <w:rsid w:val="020E4BB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Office_10.1.0.5656_F1E327BC-269C-435d-A152-05C5408002CA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2016-08-30T09:46:00Z</dcterms:created>
  <dc:creator>Dell</dc:creator>
  <cp:lastModifiedBy>Dell</cp:lastModifiedBy>
  <dcterms:modified xsi:type="dcterms:W3CDTF">2016-08-30T09:48:47Z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1033-10.1.0.5656</vt:lpwstr>
  </property>
</Properties>
</file>