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D5" w:rsidRPr="00384AD5" w:rsidRDefault="00384AD5" w:rsidP="00384AD5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31859C"/>
          <w:sz w:val="28"/>
          <w:szCs w:val="28"/>
        </w:rPr>
      </w:pPr>
      <w:r w:rsidRPr="00384AD5">
        <w:rPr>
          <w:rFonts w:ascii="Cambria-Bold" w:hAnsi="Cambria-Bold" w:cs="Cambria-Bold"/>
          <w:b/>
          <w:bCs/>
          <w:color w:val="31859C"/>
          <w:sz w:val="28"/>
          <w:szCs w:val="28"/>
        </w:rPr>
        <w:t>Abstract</w:t>
      </w:r>
    </w:p>
    <w:p w:rsidR="00384AD5" w:rsidRPr="00384AD5" w:rsidRDefault="00384AD5" w:rsidP="00384AD5">
      <w:pPr>
        <w:autoSpaceDE w:val="0"/>
        <w:autoSpaceDN w:val="0"/>
        <w:adjustRightInd w:val="0"/>
        <w:spacing w:after="0" w:line="360" w:lineRule="auto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Introduction: Effective anticoagulation depends on demographic factors, patient education, drug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knowledge and compliance. The aim of our study is to determine the factors that influence </w:t>
      </w:r>
      <w:proofErr w:type="spellStart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complianceto</w:t>
      </w:r>
      <w:proofErr w:type="spellEnd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proofErr w:type="spellStart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warfarin</w:t>
      </w:r>
      <w:proofErr w:type="spellEnd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in the mechanical valve patient population and its relationship with </w:t>
      </w:r>
      <w:proofErr w:type="spellStart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thrombo</w:t>
      </w:r>
      <w:proofErr w:type="spellEnd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-embolic and bleeding events. Patients and Methods: 113 patients underwent mechanical valve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replacement (Aortic, mitral or both) at King Abdul-Aziz University Hospital, from 2006 to 2012</w:t>
      </w:r>
      <w:proofErr w:type="gramStart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,patients</w:t>
      </w:r>
      <w:proofErr w:type="gramEnd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divided into two groups according to </w:t>
      </w:r>
      <w:proofErr w:type="spellStart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warfarin</w:t>
      </w:r>
      <w:proofErr w:type="spellEnd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compliant. Results: 113 patients reviewed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in our study, 69 (61.1%) patients found compliant, 36 (31.9%) patients found non compliant, and</w:t>
      </w:r>
    </w:p>
    <w:p w:rsidR="00384AD5" w:rsidRPr="00384AD5" w:rsidRDefault="00384AD5" w:rsidP="00384AD5">
      <w:pPr>
        <w:autoSpaceDE w:val="0"/>
        <w:autoSpaceDN w:val="0"/>
        <w:adjustRightInd w:val="0"/>
        <w:spacing w:after="0" w:line="360" w:lineRule="auto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8 (7.1%) patients missed. The mean age for all patients was 39.25 y: 76 67.3%) ware male, 37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(32.7%) were female. Mean age for compliant patients was 40.19 y versus 33.3 y for noncompliant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patients with p value 0.017. Male patient less complaint than female with significant 0.01, the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mean frequency of follow up was less (32.32 days) in compliant vs. (67.73 days) in non complaint</w:t>
      </w:r>
    </w:p>
    <w:p w:rsidR="00384AD5" w:rsidRDefault="00384AD5" w:rsidP="00384AD5">
      <w:pPr>
        <w:autoSpaceDE w:val="0"/>
        <w:autoSpaceDN w:val="0"/>
        <w:adjustRightInd w:val="0"/>
        <w:spacing w:after="0" w:line="360" w:lineRule="auto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proofErr w:type="gramStart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patient</w:t>
      </w:r>
      <w:proofErr w:type="gramEnd"/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.</w:t>
      </w:r>
    </w:p>
    <w:p w:rsidR="00215DEB" w:rsidRPr="00384AD5" w:rsidRDefault="00384AD5" w:rsidP="00384AD5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Conclusion: younger age, female gender, Arabic race, assistance at home, education, and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single drug use are factors associated with patient compliant, non compliance are associated with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</w:t>
      </w:r>
      <w:r w:rsidRPr="00384AD5">
        <w:rPr>
          <w:rFonts w:ascii="Cambria-Bold" w:hAnsi="Cambria-Bold" w:cs="Cambria-Bold"/>
          <w:b/>
          <w:bCs/>
          <w:color w:val="000000"/>
          <w:sz w:val="28"/>
          <w:szCs w:val="28"/>
        </w:rPr>
        <w:t>higher mortality and valve related complication.</w:t>
      </w:r>
    </w:p>
    <w:sectPr w:rsidR="00215DEB" w:rsidRPr="00384AD5" w:rsidSect="00DD54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84AD5"/>
    <w:rsid w:val="001B437B"/>
    <w:rsid w:val="002D454C"/>
    <w:rsid w:val="00384AD5"/>
    <w:rsid w:val="009C5A35"/>
    <w:rsid w:val="00AC0EBF"/>
    <w:rsid w:val="00B442F9"/>
    <w:rsid w:val="00C722F6"/>
    <w:rsid w:val="00DD5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4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wattia</dc:creator>
  <cp:keywords/>
  <dc:description/>
  <cp:lastModifiedBy>wattia</cp:lastModifiedBy>
  <cp:revision>2</cp:revision>
  <dcterms:created xsi:type="dcterms:W3CDTF">2016-07-27T16:34:00Z</dcterms:created>
  <dcterms:modified xsi:type="dcterms:W3CDTF">2016-07-27T16:35:00Z</dcterms:modified>
</cp:coreProperties>
</file>