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rmal.0"/>
        <w:jc w:val="both"/>
        <w:rPr>
          <w:sz w:val="22"/>
          <w:szCs w:val="22"/>
          <w:lang w:val="en-US"/>
        </w:rPr>
      </w:pPr>
      <w:r>
        <w:rPr>
          <w:sz w:val="22"/>
          <w:szCs w:val="22"/>
          <w:rtl w:val="0"/>
          <w:lang w:val="en-US"/>
        </w:rPr>
        <w:t xml:space="preserve">                                                                                                                       </w:t>
      </w:r>
      <w:r>
        <w:rPr>
          <w:sz w:val="22"/>
          <w:szCs w:val="22"/>
          <w:lang w:val="en-US"/>
        </w:rPr>
        <w:drawing>
          <wp:inline distT="0" distB="0" distL="0" distR="0">
            <wp:extent cx="1196340" cy="1186815"/>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DrTewani_lg.jpg"/>
                    <pic:cNvPicPr>
                      <a:picLocks noChangeAspect="1"/>
                    </pic:cNvPicPr>
                  </pic:nvPicPr>
                  <pic:blipFill>
                    <a:blip r:embed="rId4">
                      <a:extLst/>
                    </a:blip>
                    <a:srcRect l="0" t="10338" r="0" b="10338"/>
                    <a:stretch>
                      <a:fillRect/>
                    </a:stretch>
                  </pic:blipFill>
                  <pic:spPr>
                    <a:xfrm>
                      <a:off x="0" y="0"/>
                      <a:ext cx="1196340" cy="1186815"/>
                    </a:xfrm>
                    <a:prstGeom prst="rect">
                      <a:avLst/>
                    </a:prstGeom>
                    <a:ln w="12700" cap="flat">
                      <a:noFill/>
                      <a:miter lim="400000"/>
                    </a:ln>
                    <a:effectLst/>
                  </pic:spPr>
                </pic:pic>
              </a:graphicData>
            </a:graphic>
          </wp:inline>
        </w:drawing>
      </w:r>
    </w:p>
    <w:p>
      <w:pPr>
        <w:pStyle w:val="Normal.0"/>
        <w:jc w:val="center"/>
        <w:rPr>
          <w:b w:val="1"/>
          <w:bCs w:val="1"/>
        </w:rPr>
      </w:pPr>
      <w:r>
        <w:rPr>
          <w:b w:val="1"/>
          <w:bCs w:val="1"/>
          <w:rtl w:val="0"/>
          <w:lang w:val="en-US"/>
        </w:rPr>
        <w:t>DOES ANESTHESIOLOGIST-DIRECTED SEDATION AFFORD SUPERIOR DEEP CANNULATION RATES AND PROCEDURAL OUTCOMES FOR ERCP IN THE COMMUNITY SETTING</w:t>
      </w:r>
    </w:p>
    <w:p>
      <w:pPr>
        <w:pStyle w:val="Normal.0"/>
        <w:jc w:val="center"/>
        <w:rPr>
          <w:b w:val="1"/>
          <w:bCs w:val="1"/>
        </w:rPr>
      </w:pPr>
    </w:p>
    <w:p>
      <w:pPr>
        <w:pStyle w:val="Normal.0"/>
        <w:ind w:firstLine="708"/>
        <w:jc w:val="center"/>
        <w:rPr>
          <w:vertAlign w:val="superscript"/>
        </w:rPr>
      </w:pPr>
      <w:r>
        <w:rPr>
          <w:rtl w:val="0"/>
          <w:lang w:val="en-US"/>
        </w:rPr>
        <w:t>Brad Bowyer</w:t>
      </w:r>
      <w:r>
        <w:rPr>
          <w:vertAlign w:val="superscript"/>
          <w:rtl w:val="0"/>
          <w:lang w:val="it-IT"/>
        </w:rPr>
        <w:t>a</w:t>
      </w:r>
      <w:r>
        <w:rPr>
          <w:vertAlign w:val="superscript"/>
          <w:rtl w:val="0"/>
          <w:lang w:val="en-US"/>
        </w:rPr>
        <w:t>,b</w:t>
      </w:r>
      <w:r>
        <w:rPr>
          <w:rtl w:val="0"/>
          <w:lang w:val="it-IT"/>
        </w:rPr>
        <w:t xml:space="preserve">*, </w:t>
      </w:r>
      <w:r>
        <w:rPr>
          <w:rtl w:val="0"/>
          <w:lang w:val="en-US"/>
        </w:rPr>
        <w:t>Kathy Geissler</w:t>
      </w:r>
      <w:r>
        <w:rPr>
          <w:vertAlign w:val="superscript"/>
          <w:rtl w:val="0"/>
          <w:lang w:val="en-US"/>
        </w:rPr>
        <w:t>a</w:t>
      </w:r>
      <w:r>
        <w:rPr>
          <w:rtl w:val="0"/>
          <w:lang w:val="it-IT"/>
        </w:rPr>
        <w:t xml:space="preserve">, </w:t>
      </w:r>
      <w:r>
        <w:rPr>
          <w:rtl w:val="0"/>
          <w:lang w:val="en-US"/>
        </w:rPr>
        <w:t>Robert Barclay</w:t>
      </w:r>
      <w:r>
        <w:rPr>
          <w:vertAlign w:val="superscript"/>
          <w:rtl w:val="0"/>
          <w:lang w:val="en-US"/>
        </w:rPr>
        <w:t>a,b</w:t>
      </w:r>
      <w:r>
        <w:rPr>
          <w:rtl w:val="0"/>
          <w:lang w:val="it-IT"/>
        </w:rPr>
        <w:t xml:space="preserve">, </w:t>
      </w:r>
      <w:r>
        <w:rPr>
          <w:u w:val="single"/>
          <w:rtl w:val="0"/>
          <w:lang w:val="en-US"/>
        </w:rPr>
        <w:t>Sumeet Tewani</w:t>
      </w:r>
      <w:r>
        <w:rPr>
          <w:u w:val="single"/>
          <w:vertAlign w:val="superscript"/>
          <w:rtl w:val="0"/>
          <w:lang w:val="en-US"/>
        </w:rPr>
        <w:t>a,b</w:t>
      </w:r>
      <w:r>
        <w:rPr>
          <w:rtl w:val="0"/>
          <w:lang w:val="it-IT"/>
        </w:rPr>
        <w:t xml:space="preserve">, </w:t>
      </w:r>
      <w:r>
        <w:rPr>
          <w:rtl w:val="0"/>
          <w:lang w:val="en-US"/>
        </w:rPr>
        <w:t>James Frakes</w:t>
      </w:r>
      <w:r>
        <w:rPr>
          <w:vertAlign w:val="superscript"/>
          <w:rtl w:val="0"/>
          <w:lang w:val="en-US"/>
        </w:rPr>
        <w:t>b</w:t>
      </w:r>
      <w:r>
        <w:rPr>
          <w:rtl w:val="0"/>
          <w:lang w:val="it-IT"/>
        </w:rPr>
        <w:t xml:space="preserve">, </w:t>
      </w:r>
      <w:r>
        <w:rPr>
          <w:rtl w:val="0"/>
          <w:lang w:val="en-US"/>
        </w:rPr>
        <w:t>Nicholas Brown</w:t>
      </w:r>
      <w:r>
        <w:rPr>
          <w:vertAlign w:val="superscript"/>
          <w:rtl w:val="0"/>
          <w:lang w:val="en-US"/>
        </w:rPr>
        <w:t>b</w:t>
      </w:r>
      <w:r>
        <w:rPr>
          <w:rtl w:val="0"/>
          <w:lang w:val="it-IT"/>
        </w:rPr>
        <w:t xml:space="preserve">, </w:t>
      </w:r>
      <w:r>
        <w:rPr>
          <w:rtl w:val="0"/>
          <w:lang w:val="en-US"/>
        </w:rPr>
        <w:t>Matthew Houlihan</w:t>
      </w:r>
      <w:r>
        <w:rPr>
          <w:vertAlign w:val="superscript"/>
          <w:rtl w:val="0"/>
          <w:lang w:val="en-US"/>
        </w:rPr>
        <w:t>a</w:t>
      </w:r>
      <w:r>
        <w:rPr>
          <w:rtl w:val="0"/>
          <w:lang w:val="it-IT"/>
        </w:rPr>
        <w:t xml:space="preserve">, </w:t>
      </w:r>
      <w:r>
        <w:rPr>
          <w:rtl w:val="0"/>
          <w:lang w:val="en-US"/>
        </w:rPr>
        <w:t>Kunal Patel</w:t>
      </w:r>
      <w:r>
        <w:rPr>
          <w:vertAlign w:val="superscript"/>
          <w:rtl w:val="0"/>
          <w:lang w:val="en-US"/>
        </w:rPr>
        <w:t>b</w:t>
      </w:r>
      <w:r>
        <w:rPr>
          <w:rtl w:val="0"/>
          <w:lang w:val="it-IT"/>
        </w:rPr>
        <w:t xml:space="preserve">, </w:t>
      </w:r>
      <w:r>
        <w:rPr>
          <w:rtl w:val="0"/>
          <w:lang w:val="en-US"/>
        </w:rPr>
        <w:t>Andrew Spiel</w:t>
      </w:r>
      <w:r>
        <w:rPr>
          <w:vertAlign w:val="superscript"/>
          <w:rtl w:val="0"/>
          <w:lang w:val="en-US"/>
        </w:rPr>
        <w:t>b</w:t>
      </w:r>
    </w:p>
    <w:p>
      <w:pPr>
        <w:pStyle w:val="Normal.0"/>
        <w:jc w:val="center"/>
      </w:pPr>
    </w:p>
    <w:p>
      <w:pPr>
        <w:pStyle w:val="Normal.0"/>
        <w:jc w:val="center"/>
        <w:rPr>
          <w:i w:val="1"/>
          <w:iCs w:val="1"/>
        </w:rPr>
      </w:pPr>
      <w:r>
        <w:rPr>
          <w:i w:val="1"/>
          <w:iCs w:val="1"/>
          <w:vertAlign w:val="superscript"/>
          <w:rtl w:val="0"/>
          <w:lang w:val="it-IT"/>
        </w:rPr>
        <w:t>a</w:t>
      </w:r>
      <w:r>
        <w:rPr>
          <w:i w:val="1"/>
          <w:iCs w:val="1"/>
          <w:rtl w:val="0"/>
          <w:lang w:val="en-US"/>
        </w:rPr>
        <w:t>Rockford Gastroenterology Associates, Ltd</w:t>
      </w:r>
      <w:r>
        <w:rPr>
          <w:i w:val="1"/>
          <w:iCs w:val="1"/>
          <w:rtl w:val="0"/>
          <w:lang w:val="it-IT"/>
        </w:rPr>
        <w:t xml:space="preserve">: </w:t>
      </w:r>
      <w:r>
        <w:rPr>
          <w:i w:val="1"/>
          <w:iCs w:val="1"/>
          <w:rtl w:val="0"/>
          <w:lang w:val="en-US"/>
        </w:rPr>
        <w:t>401 Roxbury Road</w:t>
      </w:r>
      <w:r>
        <w:rPr>
          <w:i w:val="1"/>
          <w:iCs w:val="1"/>
          <w:rtl w:val="0"/>
          <w:lang w:val="it-IT"/>
        </w:rPr>
        <w:t xml:space="preserve">, </w:t>
      </w:r>
      <w:r>
        <w:rPr>
          <w:i w:val="1"/>
          <w:iCs w:val="1"/>
          <w:rtl w:val="0"/>
          <w:lang w:val="en-US"/>
        </w:rPr>
        <w:t>Rockford</w:t>
      </w:r>
      <w:r>
        <w:rPr>
          <w:i w:val="1"/>
          <w:iCs w:val="1"/>
          <w:rtl w:val="0"/>
          <w:lang w:val="it-IT"/>
        </w:rPr>
        <w:t xml:space="preserve">, </w:t>
      </w:r>
      <w:r>
        <w:rPr>
          <w:i w:val="1"/>
          <w:iCs w:val="1"/>
          <w:rtl w:val="0"/>
          <w:lang w:val="en-US"/>
        </w:rPr>
        <w:t>IL</w:t>
      </w:r>
      <w:r>
        <w:rPr>
          <w:i w:val="1"/>
          <w:iCs w:val="1"/>
          <w:rtl w:val="0"/>
          <w:lang w:val="it-IT"/>
        </w:rPr>
        <w:t xml:space="preserve">, </w:t>
      </w:r>
      <w:r>
        <w:rPr>
          <w:i w:val="1"/>
          <w:iCs w:val="1"/>
          <w:rtl w:val="0"/>
          <w:lang w:val="en-US"/>
        </w:rPr>
        <w:t>61107</w:t>
      </w:r>
    </w:p>
    <w:p>
      <w:pPr>
        <w:pStyle w:val="Normal.0"/>
        <w:jc w:val="center"/>
        <w:rPr>
          <w:i w:val="1"/>
          <w:iCs w:val="1"/>
        </w:rPr>
      </w:pPr>
      <w:r>
        <w:rPr>
          <w:i w:val="1"/>
          <w:iCs w:val="1"/>
          <w:vertAlign w:val="superscript"/>
          <w:rtl w:val="0"/>
          <w:lang w:val="it-IT"/>
        </w:rPr>
        <w:t>b</w:t>
      </w:r>
      <w:r>
        <w:rPr>
          <w:i w:val="1"/>
          <w:iCs w:val="1"/>
          <w:rtl w:val="0"/>
          <w:lang w:val="en-US"/>
        </w:rPr>
        <w:t>University of Illinois College of Medicine-Rockford</w:t>
      </w:r>
      <w:r>
        <w:rPr>
          <w:i w:val="1"/>
          <w:iCs w:val="1"/>
          <w:rtl w:val="0"/>
          <w:lang w:val="it-IT"/>
        </w:rPr>
        <w:t xml:space="preserve">: </w:t>
      </w:r>
      <w:r>
        <w:rPr>
          <w:i w:val="1"/>
          <w:iCs w:val="1"/>
          <w:rtl w:val="0"/>
          <w:lang w:val="en-US"/>
        </w:rPr>
        <w:t>1601 Parkview Avenue</w:t>
      </w:r>
      <w:r>
        <w:rPr>
          <w:i w:val="1"/>
          <w:iCs w:val="1"/>
          <w:rtl w:val="0"/>
          <w:lang w:val="it-IT"/>
        </w:rPr>
        <w:t xml:space="preserve">, </w:t>
      </w:r>
      <w:r>
        <w:rPr>
          <w:i w:val="1"/>
          <w:iCs w:val="1"/>
          <w:rtl w:val="0"/>
          <w:lang w:val="en-US"/>
        </w:rPr>
        <w:t>Rockford</w:t>
      </w:r>
      <w:r>
        <w:rPr>
          <w:i w:val="1"/>
          <w:iCs w:val="1"/>
          <w:rtl w:val="0"/>
          <w:lang w:val="it-IT"/>
        </w:rPr>
        <w:t xml:space="preserve">, </w:t>
      </w:r>
      <w:r>
        <w:rPr>
          <w:i w:val="1"/>
          <w:iCs w:val="1"/>
          <w:rtl w:val="0"/>
          <w:lang w:val="en-US"/>
        </w:rPr>
        <w:t>IL</w:t>
      </w:r>
      <w:r>
        <w:rPr>
          <w:i w:val="1"/>
          <w:iCs w:val="1"/>
          <w:rtl w:val="0"/>
          <w:lang w:val="it-IT"/>
        </w:rPr>
        <w:t xml:space="preserve">, </w:t>
      </w:r>
      <w:r>
        <w:rPr>
          <w:i w:val="1"/>
          <w:iCs w:val="1"/>
          <w:rtl w:val="0"/>
          <w:lang w:val="en-US"/>
        </w:rPr>
        <w:t>61107</w:t>
      </w:r>
    </w:p>
    <w:p>
      <w:pPr>
        <w:pStyle w:val="Normal.0"/>
        <w:rPr>
          <w:color w:val="000000"/>
          <w:u w:color="000000"/>
        </w:rPr>
      </w:pPr>
      <w:r>
        <w:rPr>
          <w:color w:val="000000"/>
          <w:u w:color="000000"/>
          <w:rtl w:val="0"/>
          <w:lang w:val="it-IT"/>
        </w:rPr>
        <w:t xml:space="preserve">                                                  </w:t>
      </w:r>
    </w:p>
    <w:p>
      <w:pPr>
        <w:pStyle w:val="Normal.0"/>
        <w:spacing w:line="360" w:lineRule="auto"/>
        <w:jc w:val="both"/>
        <w:rPr>
          <w:b w:val="1"/>
          <w:bCs w:val="1"/>
          <w:color w:val="000000"/>
          <w:u w:color="000000"/>
        </w:rPr>
      </w:pPr>
    </w:p>
    <w:p>
      <w:pPr>
        <w:pStyle w:val="Normal.0"/>
        <w:spacing w:line="360" w:lineRule="auto"/>
        <w:jc w:val="both"/>
        <w:rPr>
          <w:b w:val="1"/>
          <w:bCs w:val="1"/>
          <w:color w:val="000000"/>
          <w:u w:color="000000"/>
        </w:rPr>
      </w:pPr>
      <w:r>
        <w:rPr>
          <w:b w:val="1"/>
          <w:bCs w:val="1"/>
          <w:color w:val="000000"/>
          <w:u w:color="000000"/>
          <w:rtl w:val="0"/>
          <w:lang w:val="en-US"/>
        </w:rPr>
        <w:t>Abstract</w:t>
      </w:r>
    </w:p>
    <w:p>
      <w:pPr>
        <w:pStyle w:val="Normal.0"/>
        <w:spacing w:line="360" w:lineRule="auto"/>
        <w:jc w:val="both"/>
        <w:rPr>
          <w:color w:val="000000"/>
          <w:u w:color="000000"/>
        </w:rPr>
      </w:pPr>
      <w:r>
        <w:rPr>
          <w:color w:val="000000"/>
          <w:u w:color="000000"/>
          <w:rtl w:val="0"/>
          <w:lang w:val="it-IT"/>
        </w:rPr>
        <w:t xml:space="preserve">The study aimed to </w:t>
      </w:r>
      <w:r>
        <w:rPr>
          <w:color w:val="000000"/>
          <w:u w:color="000000"/>
          <w:rtl w:val="0"/>
          <w:lang w:val="en-US"/>
        </w:rPr>
        <w:t xml:space="preserve">compare outcomes by sedation class in community patients undergoing index endoscopic retrograde cholangiopancreatography (ERCP). The aim of this presentation is to summarize the findings of the study, comparing </w:t>
      </w:r>
      <w:r>
        <w:rPr>
          <w:rtl w:val="0"/>
          <w:lang w:val="en-US"/>
        </w:rPr>
        <w:t xml:space="preserve">gastroenterologist directed sedation (GDS) with anesthesiologist directed sedation (ADS), </w:t>
      </w:r>
      <w:r>
        <w:rPr>
          <w:color w:val="000000"/>
          <w:u w:color="000000"/>
          <w:rtl w:val="0"/>
          <w:lang w:val="en-US"/>
        </w:rPr>
        <w:t>with a focus on rates of successful cannulation, sedation failure, and procedural failure. The primary</w:t>
      </w:r>
      <w:r>
        <w:rPr>
          <w:rtl w:val="0"/>
          <w:lang w:val="en-US"/>
        </w:rPr>
        <w:t xml:space="preserve"> endpoint of the study was defined as successful deep cannulation of the intended target duct. </w:t>
      </w:r>
      <w:r>
        <w:rPr>
          <w:color w:val="000000"/>
          <w:u w:color="000000"/>
          <w:rtl w:val="0"/>
          <w:lang w:val="en-US"/>
        </w:rPr>
        <w:t xml:space="preserve">Sedation failure was defined as agitation or airway compromise prompting termination of ERCP. Reasons for procedural failure included surgically altered anatomy, luminal obstruction, and technical failure. A total of 1079 patients were included from May 2005 to May 2011, 90% utilizing GDS and 10% requiring ADS. Case complexity was defined by the grading system proposed by the working party of the ASGE Quality Committee. </w:t>
      </w:r>
      <w:r>
        <w:rPr>
          <w:rtl w:val="0"/>
          <w:lang w:val="en-US"/>
        </w:rPr>
        <w:t>Cannulation success rates were similar between the two groups.</w:t>
      </w:r>
      <w:r>
        <w:rPr>
          <w:rtl w:val="0"/>
          <w:lang w:val="it-IT"/>
        </w:rPr>
        <w:t xml:space="preserve"> </w:t>
      </w:r>
      <w:r>
        <w:rPr>
          <w:color w:val="000000"/>
          <w:u w:color="000000"/>
          <w:rtl w:val="0"/>
          <w:lang w:val="en-US"/>
        </w:rPr>
        <w:t>There were no statistical differences between sedation groups in procedural or respiratory adverse events. Technical failure was the predominant basis for deep cannulation failure in both groups. Agitation and airway compromise accounted for failure to achieve deep cannulation similarly in both groups. The need for reversal agents was low but similar in both groups. There was no statistical advantage in deep cannulation success rate by complexity grade in either sedation class. Excellent procedural outcomes and low adverse event rates were achieved using GDS, a more accessible and cost-effective method in a community-based setting.</w:t>
      </w:r>
    </w:p>
    <w:p>
      <w:pPr>
        <w:pStyle w:val="Normal.0"/>
        <w:spacing w:line="360" w:lineRule="auto"/>
        <w:jc w:val="both"/>
        <w:rPr>
          <w:color w:val="000000"/>
          <w:u w:color="000000"/>
        </w:rPr>
      </w:pPr>
    </w:p>
    <w:p>
      <w:pPr>
        <w:pStyle w:val="Normal.0"/>
        <w:jc w:val="both"/>
      </w:pPr>
      <w:r>
        <w:rPr>
          <w:rFonts w:ascii="Arial Unicode MS" w:cs="Arial Unicode MS" w:hAnsi="Arial Unicode MS" w:eastAsia="Arial Unicode MS"/>
          <w:b w:val="0"/>
          <w:bCs w:val="0"/>
          <w:i w:val="0"/>
          <w:iCs w:val="0"/>
          <w:color w:val="000000"/>
          <w:u w:color="000000"/>
        </w:rPr>
        <w:br w:type="page"/>
      </w:r>
    </w:p>
    <w:p>
      <w:pPr>
        <w:pStyle w:val="Normal.0"/>
        <w:jc w:val="both"/>
        <w:rPr>
          <w:b w:val="1"/>
          <w:bCs w:val="1"/>
        </w:rPr>
      </w:pPr>
      <w:r>
        <w:rPr>
          <w:b w:val="1"/>
          <w:bCs w:val="1"/>
          <w:rtl w:val="0"/>
          <w:lang w:val="it-IT"/>
        </w:rPr>
        <w:t>Biography</w:t>
      </w:r>
    </w:p>
    <w:p>
      <w:pPr>
        <w:pStyle w:val="Normal.0"/>
        <w:jc w:val="both"/>
        <w:rPr>
          <w:b w:val="1"/>
          <w:bCs w:val="1"/>
        </w:rPr>
      </w:pPr>
    </w:p>
    <w:p>
      <w:pPr>
        <w:pStyle w:val="Normal.0"/>
        <w:spacing w:line="360" w:lineRule="auto"/>
        <w:jc w:val="both"/>
      </w:pPr>
      <w:r>
        <w:rPr>
          <w:rtl w:val="0"/>
          <w:lang w:val="it-IT"/>
        </w:rPr>
        <w:t xml:space="preserve">Dr. </w:t>
      </w:r>
      <w:r>
        <w:rPr>
          <w:rtl w:val="0"/>
          <w:lang w:val="en-US"/>
        </w:rPr>
        <w:t>Tewani received his combined Bachelor of Arts in the Medical Sciences and Medical Degree at Boston University. He completed residency in Internal Medicine, fellowship in Gastroenterology and Hepatology, and advanced fellowship in Advanced Endoscopy at Beth Israel Deaconess Medical Center and Harvard Medical School in Boston, Massachusetts. He also completed the Program in Clinical Effectiveness at Harvard School of Public Health and Brigham and Women</w:t>
      </w:r>
      <w:r>
        <w:rPr>
          <w:rtl w:val="0"/>
          <w:lang w:val="en-US"/>
        </w:rPr>
        <w:t>’</w:t>
      </w:r>
      <w:r>
        <w:rPr>
          <w:rtl w:val="0"/>
          <w:lang w:val="en-US"/>
        </w:rPr>
        <w:t>s Hospital in Boston, Massachusetts, and an International Observership at Asian Institute of Gastroenterology in Hyderabad, India. He joined Rockford Gastroenterology Associates and University of Illinois College of Medicine-Rockford in Rockford, Illinois, during 2014.</w:t>
      </w:r>
    </w:p>
    <w:p>
      <w:pPr>
        <w:pStyle w:val="Normal.0"/>
        <w:spacing w:line="360" w:lineRule="auto"/>
        <w:jc w:val="both"/>
      </w:pPr>
    </w:p>
    <w:p>
      <w:pPr>
        <w:pStyle w:val="Normal.0"/>
        <w:jc w:val="both"/>
        <w:rPr>
          <w:sz w:val="16"/>
          <w:szCs w:val="16"/>
        </w:rPr>
      </w:pPr>
    </w:p>
    <w:p>
      <w:pPr>
        <w:pStyle w:val="Normal.0"/>
      </w:pPr>
      <w:r>
        <w:rPr>
          <w:b w:val="1"/>
          <w:bCs w:val="1"/>
          <w:rtl w:val="0"/>
          <w:lang w:val="it-IT"/>
        </w:rPr>
        <w:t>Keywords:</w:t>
      </w:r>
      <w:r>
        <w:rPr>
          <w:rtl w:val="0"/>
        </w:rPr>
        <w:t xml:space="preserve"> </w:t>
      </w:r>
      <w:r>
        <w:rPr>
          <w:rtl w:val="0"/>
          <w:lang w:val="en-US"/>
        </w:rPr>
        <w:t>ERCP, Community-Based Medicine, Conscious Sedation, Anesthesiologist-Directed Sedation, Gastroenterologist-Directed Sedations</w:t>
      </w:r>
    </w:p>
    <w:p>
      <w:pPr>
        <w:pStyle w:val="Paragraph"/>
        <w:tabs>
          <w:tab w:val="left" w:pos="2520"/>
        </w:tabs>
        <w:ind w:firstLine="0"/>
        <w:jc w:val="both"/>
        <w:rPr>
          <w:b w:val="1"/>
          <w:bCs w:val="1"/>
          <w:sz w:val="24"/>
          <w:szCs w:val="24"/>
        </w:rPr>
      </w:pPr>
    </w:p>
    <w:p>
      <w:pPr>
        <w:pStyle w:val="Paragraph"/>
        <w:tabs>
          <w:tab w:val="left" w:pos="2520"/>
        </w:tabs>
        <w:ind w:firstLine="0"/>
        <w:jc w:val="both"/>
        <w:rPr>
          <w:sz w:val="22"/>
          <w:szCs w:val="22"/>
        </w:rPr>
      </w:pPr>
      <w:r>
        <w:rPr>
          <w:b w:val="1"/>
          <w:bCs w:val="1"/>
          <w:sz w:val="22"/>
          <w:szCs w:val="22"/>
          <w:rtl w:val="0"/>
          <w:lang w:val="en-US"/>
        </w:rPr>
        <w:t>Desired presentation  :</w:t>
        <w:tab/>
      </w:r>
      <w:r>
        <w:rPr>
          <w:sz w:val="22"/>
          <w:szCs w:val="22"/>
          <w:rtl w:val="0"/>
          <w:lang w:val="en-US"/>
        </w:rPr>
        <w:t>(1)</w:t>
      </w:r>
      <w:r>
        <w:rPr>
          <w:sz w:val="22"/>
          <w:szCs w:val="22"/>
          <w:rtl w:val="0"/>
          <w:lang w:val="en-US"/>
        </w:rPr>
        <w:t xml:space="preserve"> Oral </w:t>
        <w:tab/>
        <w:t xml:space="preserve">/ </w:t>
        <w:tab/>
      </w:r>
      <w:r>
        <w:rPr>
          <w:sz w:val="22"/>
          <w:szCs w:val="22"/>
          <w:rtl w:val="0"/>
          <w:lang w:val="en-US"/>
        </w:rPr>
        <w:t>(2)</w:t>
      </w:r>
      <w:r>
        <w:rPr>
          <w:sz w:val="22"/>
          <w:szCs w:val="22"/>
          <w:rtl w:val="0"/>
          <w:lang w:val="en-US"/>
        </w:rPr>
        <w:t xml:space="preserve"> Poster</w:t>
      </w:r>
    </w:p>
    <w:p>
      <w:pPr>
        <w:pStyle w:val="Paragraph"/>
        <w:tabs>
          <w:tab w:val="left" w:pos="2520"/>
        </w:tabs>
        <w:ind w:firstLine="0"/>
        <w:jc w:val="both"/>
        <w:rPr>
          <w:sz w:val="6"/>
          <w:szCs w:val="6"/>
        </w:rPr>
      </w:pPr>
    </w:p>
    <w:p>
      <w:pPr>
        <w:pStyle w:val="Paragraph"/>
        <w:tabs>
          <w:tab w:val="left" w:pos="2520"/>
        </w:tabs>
        <w:ind w:firstLine="0"/>
        <w:jc w:val="both"/>
        <w:rPr>
          <w:sz w:val="22"/>
          <w:szCs w:val="22"/>
        </w:rPr>
      </w:pPr>
      <w:r>
        <w:rPr>
          <w:b w:val="1"/>
          <w:bCs w:val="1"/>
          <w:sz w:val="22"/>
          <w:szCs w:val="22"/>
          <w:rtl w:val="0"/>
          <w:lang w:val="en-US"/>
        </w:rPr>
        <w:t>Topic                         :</w:t>
        <w:tab/>
      </w:r>
      <w:r>
        <w:rPr>
          <w:sz w:val="22"/>
          <w:szCs w:val="22"/>
          <w:rtl w:val="0"/>
          <w:lang w:val="en-US"/>
        </w:rPr>
        <w:t>Healthcare</w:t>
      </w:r>
    </w:p>
    <w:p>
      <w:pPr>
        <w:pStyle w:val="Paragraph"/>
        <w:tabs>
          <w:tab w:val="left" w:pos="2520"/>
        </w:tabs>
        <w:ind w:firstLine="0"/>
        <w:jc w:val="both"/>
        <w:rPr>
          <w:sz w:val="22"/>
          <w:szCs w:val="22"/>
        </w:rPr>
      </w:pPr>
    </w:p>
    <w:p>
      <w:pPr>
        <w:pStyle w:val="Paragraph"/>
        <w:tabs>
          <w:tab w:val="left" w:pos="2520"/>
        </w:tabs>
        <w:ind w:firstLine="0"/>
        <w:jc w:val="both"/>
        <w:rPr>
          <w:sz w:val="22"/>
          <w:szCs w:val="22"/>
        </w:rPr>
      </w:pPr>
      <w:r>
        <w:rPr>
          <w:b w:val="1"/>
          <w:bCs w:val="1"/>
          <w:sz w:val="22"/>
          <w:szCs w:val="22"/>
          <w:rtl w:val="0"/>
          <w:lang w:val="en-US"/>
        </w:rPr>
        <w:t>Corresponding Author Details:</w:t>
      </w:r>
      <w:r>
        <w:rPr>
          <w:sz w:val="22"/>
          <w:szCs w:val="22"/>
        </w:rPr>
        <w:tab/>
      </w:r>
      <w:r>
        <w:rPr>
          <w:sz w:val="22"/>
          <w:szCs w:val="22"/>
          <w:rtl w:val="0"/>
          <w:lang w:val="en-US"/>
        </w:rPr>
        <w:t>Sumeet K. Tewani, MD</w:t>
      </w:r>
    </w:p>
    <w:p>
      <w:pPr>
        <w:pStyle w:val="Paragraph"/>
        <w:tabs>
          <w:tab w:val="left" w:pos="2520"/>
        </w:tabs>
        <w:ind w:firstLine="0"/>
        <w:jc w:val="both"/>
        <w:rPr>
          <w:sz w:val="22"/>
          <w:szCs w:val="22"/>
        </w:rPr>
      </w:pPr>
      <w:r>
        <w:rPr>
          <w:sz w:val="22"/>
          <w:szCs w:val="22"/>
          <w:rtl w:val="0"/>
        </w:rPr>
        <w:tab/>
        <w:t xml:space="preserve">                </w:t>
      </w:r>
      <w:r>
        <w:rPr>
          <w:sz w:val="22"/>
          <w:szCs w:val="22"/>
          <w:rtl w:val="0"/>
          <w:lang w:val="en-US"/>
        </w:rPr>
        <w:t>DrTewani@rockfordgi.com</w:t>
      </w:r>
    </w:p>
    <w:p>
      <w:pPr>
        <w:pStyle w:val="Paragraph"/>
        <w:tabs>
          <w:tab w:val="left" w:pos="2520"/>
        </w:tabs>
        <w:ind w:firstLine="0"/>
        <w:jc w:val="both"/>
        <w:rPr>
          <w:sz w:val="22"/>
          <w:szCs w:val="22"/>
        </w:rPr>
      </w:pPr>
      <w:r>
        <w:rPr>
          <w:sz w:val="22"/>
          <w:szCs w:val="22"/>
          <w:rtl w:val="0"/>
        </w:rPr>
        <w:tab/>
        <w:t xml:space="preserve">                </w:t>
      </w:r>
      <w:r>
        <w:rPr>
          <w:sz w:val="22"/>
          <w:szCs w:val="22"/>
          <w:rtl w:val="0"/>
          <w:lang w:val="en-US"/>
        </w:rPr>
        <w:t>Rockford Gastroenterology Associates</w:t>
      </w:r>
    </w:p>
    <w:p>
      <w:pPr>
        <w:pStyle w:val="Paragraph"/>
        <w:tabs>
          <w:tab w:val="left" w:pos="2520"/>
        </w:tabs>
        <w:ind w:firstLine="0"/>
        <w:jc w:val="both"/>
        <w:rPr>
          <w:sz w:val="22"/>
          <w:szCs w:val="22"/>
        </w:rPr>
      </w:pPr>
      <w:r>
        <w:rPr>
          <w:sz w:val="22"/>
          <w:szCs w:val="22"/>
          <w:rtl w:val="0"/>
        </w:rPr>
        <w:tab/>
        <w:t xml:space="preserve">                </w:t>
      </w:r>
      <w:r>
        <w:rPr>
          <w:sz w:val="22"/>
          <w:szCs w:val="22"/>
          <w:rtl w:val="0"/>
          <w:lang w:val="en-US"/>
        </w:rPr>
        <w:t>Rockford, Illinois, USA 61107</w:t>
      </w:r>
    </w:p>
    <w:p>
      <w:pPr>
        <w:pStyle w:val="Paragraph"/>
        <w:tabs>
          <w:tab w:val="left" w:pos="2520"/>
        </w:tabs>
        <w:ind w:firstLine="0"/>
        <w:jc w:val="both"/>
        <w:rPr>
          <w:sz w:val="22"/>
          <w:szCs w:val="22"/>
        </w:rPr>
      </w:pPr>
      <w:r>
        <w:rPr>
          <w:sz w:val="22"/>
          <w:szCs w:val="22"/>
          <w:rtl w:val="0"/>
        </w:rPr>
        <w:tab/>
        <w:t xml:space="preserve">                </w:t>
      </w:r>
      <w:r>
        <w:rPr>
          <w:sz w:val="22"/>
          <w:szCs w:val="22"/>
          <w:rtl w:val="0"/>
          <w:lang w:val="en-US"/>
        </w:rPr>
        <w:t>Office Phone (815) 397-7340</w:t>
      </w:r>
      <w:r>
        <w:rPr>
          <w:sz w:val="22"/>
          <w:szCs w:val="22"/>
          <w:rtl w:val="0"/>
          <w:lang w:val="en-US"/>
        </w:rPr>
        <w:t xml:space="preserve">, </w:t>
      </w:r>
      <w:r>
        <w:rPr>
          <w:sz w:val="22"/>
          <w:szCs w:val="22"/>
          <w:rtl w:val="0"/>
          <w:lang w:val="en-US"/>
        </w:rPr>
        <w:t xml:space="preserve">Office </w:t>
      </w:r>
      <w:r>
        <w:rPr>
          <w:sz w:val="22"/>
          <w:szCs w:val="22"/>
          <w:rtl w:val="0"/>
          <w:lang w:val="en-US"/>
        </w:rPr>
        <w:t>Fax</w:t>
      </w:r>
      <w:r>
        <w:rPr>
          <w:sz w:val="22"/>
          <w:szCs w:val="22"/>
          <w:rtl w:val="0"/>
          <w:lang w:val="en-US"/>
        </w:rPr>
        <w:t xml:space="preserve"> (815) 397-7388</w:t>
      </w:r>
    </w:p>
    <w:p>
      <w:pPr>
        <w:pStyle w:val="Paragraph"/>
        <w:tabs>
          <w:tab w:val="left" w:pos="2520"/>
        </w:tabs>
        <w:ind w:firstLine="0"/>
        <w:jc w:val="both"/>
        <w:rPr>
          <w:sz w:val="22"/>
          <w:szCs w:val="22"/>
        </w:rPr>
      </w:pPr>
      <w:r>
        <w:rPr>
          <w:sz w:val="22"/>
          <w:szCs w:val="22"/>
          <w:rtl w:val="0"/>
        </w:rPr>
        <w:tab/>
        <w:t xml:space="preserve">                </w:t>
      </w:r>
      <w:r>
        <w:rPr>
          <w:sz w:val="22"/>
          <w:szCs w:val="22"/>
          <w:rtl w:val="0"/>
          <w:lang w:val="en-US"/>
        </w:rPr>
        <w:t>Cell Phone (617) 480-8826</w:t>
      </w:r>
      <w:r>
        <w:rPr>
          <w:sz w:val="22"/>
          <w:szCs w:val="22"/>
          <w:rtl w:val="0"/>
          <w:lang w:val="en-US"/>
        </w:rPr>
        <w:t xml:space="preserve">, </w:t>
      </w:r>
      <w:r>
        <w:rPr>
          <w:sz w:val="22"/>
          <w:szCs w:val="22"/>
          <w:rtl w:val="0"/>
          <w:lang w:val="en-US"/>
        </w:rPr>
        <w:t xml:space="preserve">Personal </w:t>
      </w:r>
      <w:r>
        <w:rPr>
          <w:sz w:val="22"/>
          <w:szCs w:val="22"/>
          <w:rtl w:val="0"/>
          <w:lang w:val="en-US"/>
        </w:rPr>
        <w:t xml:space="preserve">Fax </w:t>
      </w:r>
      <w:r>
        <w:rPr>
          <w:sz w:val="22"/>
          <w:szCs w:val="22"/>
          <w:rtl w:val="0"/>
          <w:lang w:val="en-US"/>
        </w:rPr>
        <w:t>(888) 258-2653</w:t>
      </w:r>
    </w:p>
    <w:p>
      <w:pPr>
        <w:pStyle w:val="Normal.0"/>
        <w:jc w:val="both"/>
      </w:pPr>
      <w:r>
        <w:rPr>
          <w:b w:val="1"/>
          <w:bCs w:val="1"/>
          <w:color w:val="000000"/>
          <w:u w:color="000000"/>
        </w:rPr>
      </w:r>
    </w:p>
    <w:sectPr>
      <w:headerReference w:type="default" r:id="rId5"/>
      <w:headerReference w:type="even" r:id="rId6"/>
      <w:footerReference w:type="default" r:id="rId7"/>
      <w:footerReference w:type="even" r:id="rId8"/>
      <w:pgSz w:w="11900" w:h="16840" w:orient="portrait"/>
      <w:pgMar w:top="851" w:right="1134" w:bottom="1134" w:left="1134" w:header="270"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9612"/>
        <w:tab w:val="clear" w:pos="9638"/>
      </w:tabs>
      <w:spacing w:line="276" w:lineRule="auto"/>
      <w:jc w:val="center"/>
      <w:rPr>
        <w:sz w:val="22"/>
        <w:szCs w:val="22"/>
        <w:lang w:val="en-US"/>
      </w:rPr>
    </w:pPr>
    <w:r>
      <w:rPr>
        <w:sz w:val="22"/>
        <w:szCs w:val="22"/>
        <w:rtl w:val="0"/>
        <w:lang w:val="en-US"/>
      </w:rPr>
      <w:t>7</w:t>
    </w:r>
    <w:r>
      <w:rPr>
        <w:sz w:val="22"/>
        <w:szCs w:val="22"/>
        <w:vertAlign w:val="superscript"/>
        <w:rtl w:val="0"/>
        <w:lang w:val="en-US"/>
      </w:rPr>
      <w:t>th</w:t>
    </w:r>
    <w:r>
      <w:rPr>
        <w:sz w:val="22"/>
        <w:szCs w:val="22"/>
        <w:rtl w:val="0"/>
        <w:lang w:val="en-US"/>
      </w:rPr>
      <w:t xml:space="preserve"> World Congress on Healthcare and Technologies </w:t>
    </w:r>
  </w:p>
  <w:p>
    <w:pPr>
      <w:pStyle w:val="Header"/>
      <w:tabs>
        <w:tab w:val="right" w:pos="9612"/>
        <w:tab w:val="clear" w:pos="9638"/>
      </w:tabs>
      <w:spacing w:line="276" w:lineRule="auto"/>
      <w:jc w:val="center"/>
    </w:pPr>
    <w:r>
      <w:rPr>
        <w:sz w:val="22"/>
        <w:szCs w:val="22"/>
        <w:rtl w:val="0"/>
        <w:lang w:val="en-US"/>
      </w:rPr>
      <w:t>September 26-27, 2016 London, United Kingdom</w:t>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8"/>
  <w:autoHyphenation w:val="0"/>
  <w:evenAndOddHeaders w:val="1"/>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819"/>
        <w:tab w:val="right" w:pos="9638"/>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it-IT"/>
    </w:rPr>
  </w:style>
  <w:style w:type="paragraph" w:styleId="Paragraph">
    <w:name w:val="Paragraph"/>
    <w:next w:val="Paragraph"/>
    <w:pPr>
      <w:keepNext w:val="0"/>
      <w:keepLines w:val="0"/>
      <w:pageBreakBefore w:val="0"/>
      <w:widowControl w:val="1"/>
      <w:shd w:val="clear" w:color="auto" w:fill="auto"/>
      <w:suppressAutoHyphens w:val="0"/>
      <w:bidi w:val="0"/>
      <w:spacing w:before="0" w:after="0" w:line="240" w:lineRule="auto"/>
      <w:ind w:left="0" w:right="0" w:firstLine="36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