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ACC" w:rsidRPr="00920ACC" w:rsidRDefault="00920ACC" w:rsidP="00920ACC">
      <w:pPr>
        <w:pStyle w:val="ListParagraph"/>
        <w:widowControl w:val="0"/>
        <w:autoSpaceDE w:val="0"/>
        <w:autoSpaceDN w:val="0"/>
        <w:adjustRightInd w:val="0"/>
        <w:spacing w:after="0" w:line="360" w:lineRule="auto"/>
        <w:ind w:left="0"/>
        <w:jc w:val="center"/>
        <w:rPr>
          <w:rFonts w:ascii="Verdana" w:hAnsi="Verdana"/>
          <w:b/>
          <w:sz w:val="18"/>
          <w:szCs w:val="18"/>
        </w:rPr>
      </w:pPr>
      <w:bookmarkStart w:id="0" w:name="_GoBack"/>
      <w:bookmarkEnd w:id="0"/>
    </w:p>
    <w:p w:rsidR="00920ACC" w:rsidRDefault="00920ACC" w:rsidP="00920ACC">
      <w:pPr>
        <w:pStyle w:val="ListParagraph"/>
        <w:widowControl w:val="0"/>
        <w:autoSpaceDE w:val="0"/>
        <w:autoSpaceDN w:val="0"/>
        <w:adjustRightInd w:val="0"/>
        <w:spacing w:after="0" w:line="360" w:lineRule="auto"/>
        <w:ind w:left="0"/>
        <w:jc w:val="center"/>
        <w:rPr>
          <w:rFonts w:ascii="Verdana" w:hAnsi="Verdana"/>
          <w:b/>
          <w:sz w:val="18"/>
          <w:szCs w:val="18"/>
        </w:rPr>
      </w:pPr>
      <w:r w:rsidRPr="00920ACC">
        <w:rPr>
          <w:rFonts w:ascii="Verdana" w:hAnsi="Verdana"/>
          <w:b/>
          <w:sz w:val="18"/>
          <w:szCs w:val="18"/>
        </w:rPr>
        <w:t xml:space="preserve">ESTABLISHMENT OF MOUSE FERTILIZED TETRAPLOID EMBRYOS </w:t>
      </w:r>
    </w:p>
    <w:p w:rsidR="00920ACC" w:rsidRPr="00920ACC" w:rsidRDefault="00920ACC" w:rsidP="00920ACC">
      <w:pPr>
        <w:pStyle w:val="ListParagraph"/>
        <w:widowControl w:val="0"/>
        <w:autoSpaceDE w:val="0"/>
        <w:autoSpaceDN w:val="0"/>
        <w:adjustRightInd w:val="0"/>
        <w:spacing w:after="0" w:line="360" w:lineRule="auto"/>
        <w:ind w:left="0"/>
        <w:jc w:val="center"/>
        <w:rPr>
          <w:rFonts w:ascii="Verdana" w:hAnsi="Verdana"/>
          <w:b/>
          <w:sz w:val="18"/>
          <w:szCs w:val="18"/>
        </w:rPr>
      </w:pPr>
      <w:r w:rsidRPr="00920ACC">
        <w:rPr>
          <w:rFonts w:ascii="Verdana" w:hAnsi="Verdana"/>
          <w:b/>
          <w:sz w:val="18"/>
          <w:szCs w:val="18"/>
        </w:rPr>
        <w:t>AND CHARACTERISTICS OF PREIMPLANTATION DEVELOPMENT</w:t>
      </w:r>
    </w:p>
    <w:p w:rsidR="000F7DA7" w:rsidRPr="000F7DA7" w:rsidRDefault="00920ACC" w:rsidP="000F7DA7">
      <w:pPr>
        <w:spacing w:after="0" w:line="360" w:lineRule="auto"/>
        <w:jc w:val="center"/>
        <w:rPr>
          <w:rFonts w:ascii="Verdana" w:hAnsi="Verdana" w:cs="Times New Roman"/>
          <w:sz w:val="18"/>
          <w:szCs w:val="18"/>
        </w:rPr>
      </w:pPr>
      <w:r w:rsidRPr="00920ACC">
        <w:rPr>
          <w:rFonts w:ascii="Verdana" w:hAnsi="Verdana" w:cs="Times New Roman"/>
          <w:sz w:val="18"/>
          <w:szCs w:val="18"/>
        </w:rPr>
        <w:t>Le Sao</w:t>
      </w:r>
      <w:r w:rsidR="00D03AD6">
        <w:rPr>
          <w:rFonts w:ascii="Verdana" w:hAnsi="Verdana" w:cs="Times New Roman"/>
          <w:sz w:val="18"/>
          <w:szCs w:val="18"/>
        </w:rPr>
        <w:t xml:space="preserve"> Mai Pham</w:t>
      </w:r>
      <w:r w:rsidRPr="00920ACC">
        <w:rPr>
          <w:rFonts w:ascii="Verdana" w:hAnsi="Verdana" w:cs="Times New Roman"/>
          <w:sz w:val="18"/>
          <w:szCs w:val="18"/>
          <w:vertAlign w:val="superscript"/>
        </w:rPr>
        <w:t>a</w:t>
      </w:r>
      <w:r w:rsidR="000F7DA7">
        <w:rPr>
          <w:rFonts w:ascii="Verdana" w:hAnsi="Verdana" w:cs="Times New Roman"/>
          <w:sz w:val="18"/>
          <w:szCs w:val="18"/>
        </w:rPr>
        <w:t xml:space="preserve"> (BSc Student - </w:t>
      </w:r>
      <w:r w:rsidR="000F7DA7" w:rsidRPr="00920ACC">
        <w:rPr>
          <w:rFonts w:ascii="Verdana" w:hAnsi="Verdana" w:cs="Times New Roman"/>
          <w:sz w:val="18"/>
          <w:szCs w:val="18"/>
        </w:rPr>
        <w:t>phlsaomai96@gmail.com</w:t>
      </w:r>
      <w:r w:rsidR="000F7DA7">
        <w:rPr>
          <w:rFonts w:ascii="Verdana" w:hAnsi="Verdana" w:cs="Times New Roman"/>
          <w:sz w:val="18"/>
          <w:szCs w:val="18"/>
        </w:rPr>
        <w:t>)</w:t>
      </w:r>
    </w:p>
    <w:p w:rsidR="00920ACC" w:rsidRPr="00920ACC" w:rsidRDefault="00920ACC" w:rsidP="00920ACC">
      <w:pPr>
        <w:spacing w:after="0" w:line="360" w:lineRule="auto"/>
        <w:jc w:val="center"/>
        <w:rPr>
          <w:rFonts w:ascii="Verdana" w:hAnsi="Verdana" w:cs="Times New Roman"/>
          <w:sz w:val="18"/>
          <w:szCs w:val="18"/>
        </w:rPr>
      </w:pPr>
      <w:r w:rsidRPr="00920ACC">
        <w:rPr>
          <w:rFonts w:ascii="Verdana" w:hAnsi="Verdana" w:cs="Times New Roman"/>
          <w:sz w:val="18"/>
          <w:szCs w:val="18"/>
          <w:vertAlign w:val="superscript"/>
        </w:rPr>
        <w:t>a</w:t>
      </w:r>
      <w:r w:rsidRPr="00920ACC">
        <w:rPr>
          <w:rFonts w:ascii="Verdana" w:hAnsi="Verdana" w:cs="Times New Roman"/>
          <w:i/>
          <w:sz w:val="18"/>
          <w:szCs w:val="18"/>
        </w:rPr>
        <w:t>School of Biotechnology, International University, Vietnam National University in HCM</w:t>
      </w:r>
    </w:p>
    <w:p w:rsidR="00920ACC" w:rsidRPr="00920ACC" w:rsidRDefault="00920ACC">
      <w:pPr>
        <w:rPr>
          <w:sz w:val="18"/>
          <w:szCs w:val="18"/>
        </w:rPr>
      </w:pPr>
    </w:p>
    <w:p w:rsidR="00920ACC" w:rsidRPr="00A30CF6" w:rsidRDefault="00920ACC" w:rsidP="0086652B">
      <w:pPr>
        <w:pStyle w:val="Heading1"/>
        <w:spacing w:before="0"/>
        <w:rPr>
          <w:rFonts w:ascii="Verdana" w:hAnsi="Verdana" w:cs="Times New Roman"/>
          <w:color w:val="auto"/>
          <w:sz w:val="18"/>
          <w:szCs w:val="18"/>
          <w:u w:val="single"/>
        </w:rPr>
      </w:pPr>
      <w:r w:rsidRPr="00A30CF6">
        <w:rPr>
          <w:rFonts w:ascii="Verdana" w:hAnsi="Verdana" w:cs="Times New Roman"/>
          <w:color w:val="auto"/>
          <w:sz w:val="18"/>
          <w:szCs w:val="18"/>
          <w:u w:val="single"/>
        </w:rPr>
        <w:t>ABSTRACT</w:t>
      </w:r>
    </w:p>
    <w:p w:rsidR="00A30CF6" w:rsidRPr="00A30CF6" w:rsidRDefault="00A30CF6" w:rsidP="00A30CF6">
      <w:pPr>
        <w:spacing w:after="0"/>
        <w:rPr>
          <w:sz w:val="10"/>
          <w:szCs w:val="10"/>
        </w:rPr>
      </w:pPr>
    </w:p>
    <w:p w:rsidR="00920ACC" w:rsidRPr="00920ACC" w:rsidRDefault="00920ACC" w:rsidP="00A30CF6">
      <w:pPr>
        <w:tabs>
          <w:tab w:val="left" w:pos="90"/>
        </w:tabs>
        <w:spacing w:after="0" w:line="360" w:lineRule="auto"/>
        <w:jc w:val="both"/>
        <w:rPr>
          <w:rFonts w:ascii="Verdana" w:hAnsi="Verdana"/>
          <w:sz w:val="18"/>
          <w:szCs w:val="18"/>
        </w:rPr>
      </w:pPr>
      <w:r w:rsidRPr="00920ACC">
        <w:rPr>
          <w:rFonts w:ascii="Verdana" w:hAnsi="Verdana" w:cs="Times New Roman"/>
          <w:sz w:val="18"/>
          <w:szCs w:val="18"/>
        </w:rPr>
        <w:t xml:space="preserve">Tetraploid embryos are commonly used to avoid embryonic lethality due to the tetraploid complementation assay by introducing ES cells into tetraploid embryos which can develop to conceptuses. </w:t>
      </w:r>
      <w:r w:rsidRPr="00920ACC">
        <w:rPr>
          <w:rFonts w:ascii="Verdana" w:hAnsi="Verdana"/>
          <w:sz w:val="18"/>
          <w:szCs w:val="18"/>
        </w:rPr>
        <w:t xml:space="preserve">Numerous effective methods were performed to produce tetraploid embryos </w:t>
      </w:r>
      <w:r w:rsidRPr="00920ACC">
        <w:rPr>
          <w:rFonts w:ascii="Verdana" w:hAnsi="Verdana"/>
          <w:i/>
          <w:sz w:val="18"/>
          <w:szCs w:val="18"/>
        </w:rPr>
        <w:t>in vitro</w:t>
      </w:r>
      <w:r w:rsidRPr="00920ACC">
        <w:rPr>
          <w:rFonts w:ascii="Verdana" w:hAnsi="Verdana"/>
          <w:sz w:val="18"/>
          <w:szCs w:val="18"/>
        </w:rPr>
        <w:t>. However, electrofusion is one of the most accurate, measurable, repeatable, less toxic and well defined procedure which can be performed with the embryos having the zona pellucida. Efficiency of electrofusion depends on numerous factors, such as fusion medium, electrical parameters,</w:t>
      </w:r>
      <w:r w:rsidRPr="00920ACC">
        <w:rPr>
          <w:rFonts w:ascii="Verdana" w:hAnsi="Verdana"/>
          <w:sz w:val="18"/>
          <w:szCs w:val="18"/>
          <w:shd w:val="clear" w:color="auto" w:fill="FFFFFF"/>
        </w:rPr>
        <w:t xml:space="preserve"> </w:t>
      </w:r>
      <w:r w:rsidRPr="00920ACC">
        <w:rPr>
          <w:rFonts w:ascii="Verdana" w:hAnsi="Verdana"/>
          <w:sz w:val="18"/>
          <w:szCs w:val="18"/>
        </w:rPr>
        <w:t>characteristics of the cells,</w:t>
      </w:r>
      <w:r w:rsidRPr="00920ACC">
        <w:rPr>
          <w:rFonts w:ascii="Verdana" w:hAnsi="Verdana"/>
          <w:sz w:val="18"/>
          <w:szCs w:val="18"/>
          <w:shd w:val="clear" w:color="auto" w:fill="FFFFFF"/>
        </w:rPr>
        <w:t xml:space="preserve"> pulse number, alignment of embryos between electrodes, and exposure time</w:t>
      </w:r>
      <w:r w:rsidRPr="00920ACC">
        <w:rPr>
          <w:rFonts w:ascii="Verdana" w:hAnsi="Verdana"/>
          <w:sz w:val="18"/>
          <w:szCs w:val="18"/>
        </w:rPr>
        <w:t>. Attention in this study has been focused on choosing the optimal parameters of electric field with the aim of improving efficiency of cell fusion after electrofusion of 2-cell stage</w:t>
      </w:r>
      <w:r w:rsidRPr="00920ACC">
        <w:rPr>
          <w:rFonts w:ascii="Verdana" w:hAnsi="Verdana"/>
          <w:bCs/>
          <w:spacing w:val="-3"/>
          <w:sz w:val="18"/>
          <w:szCs w:val="18"/>
        </w:rPr>
        <w:t xml:space="preserve">. </w:t>
      </w:r>
      <w:r w:rsidRPr="00920ACC">
        <w:rPr>
          <w:rFonts w:ascii="Verdana" w:hAnsi="Verdana"/>
          <w:sz w:val="18"/>
          <w:szCs w:val="18"/>
        </w:rPr>
        <w:t xml:space="preserve">The results showed that the compaction of 4-cell tetraploid embryos and 8-cell diploid embryos after 88 hr hCG injection occurred concurrently. Therefore, the timing of tetraploid embryo development and the first change in embryo morphology were dependent on the timing of fertilization, not on the number of completed cell cycles. Beside that, the immunofluorescence staining with CDX2 clarified that tetraploid embryos contributed only to trophectoderm due to lower numbers of TE cells and ICM cells in tetraploid blastocysts compared with diploid blastocysts. </w:t>
      </w:r>
    </w:p>
    <w:p w:rsidR="00920ACC" w:rsidRPr="00920ACC" w:rsidRDefault="00920ACC" w:rsidP="00920ACC">
      <w:pPr>
        <w:spacing w:after="0" w:line="360" w:lineRule="auto"/>
        <w:jc w:val="both"/>
        <w:rPr>
          <w:rFonts w:ascii="Verdana" w:hAnsi="Verdana" w:cs="Times New Roman"/>
          <w:i/>
          <w:sz w:val="18"/>
          <w:szCs w:val="18"/>
        </w:rPr>
      </w:pPr>
      <w:r w:rsidRPr="00920ACC">
        <w:rPr>
          <w:rFonts w:ascii="Verdana" w:hAnsi="Verdana"/>
          <w:i/>
          <w:sz w:val="18"/>
          <w:szCs w:val="18"/>
        </w:rPr>
        <w:t>Key words: tetraploid embryos, preimplantation development, cdx2</w:t>
      </w:r>
    </w:p>
    <w:p w:rsidR="0086652B" w:rsidRDefault="0086652B" w:rsidP="0086652B">
      <w:pPr>
        <w:rPr>
          <w:sz w:val="18"/>
          <w:szCs w:val="18"/>
        </w:rPr>
      </w:pPr>
      <w:bookmarkStart w:id="1" w:name="_Toc518292981"/>
      <w:bookmarkStart w:id="2" w:name="_Toc518303844"/>
      <w:bookmarkStart w:id="3" w:name="_Toc518304081"/>
    </w:p>
    <w:bookmarkEnd w:id="1"/>
    <w:bookmarkEnd w:id="2"/>
    <w:bookmarkEnd w:id="3"/>
    <w:p w:rsidR="0086652B" w:rsidRPr="00A51774" w:rsidRDefault="0086652B" w:rsidP="0086652B">
      <w:pPr>
        <w:pStyle w:val="ListParagraph"/>
        <w:numPr>
          <w:ilvl w:val="0"/>
          <w:numId w:val="2"/>
        </w:numPr>
        <w:spacing w:after="0" w:line="360" w:lineRule="auto"/>
        <w:ind w:left="360" w:hanging="360"/>
        <w:jc w:val="both"/>
        <w:outlineLvl w:val="0"/>
        <w:rPr>
          <w:rFonts w:ascii="Verdana" w:hAnsi="Verdana"/>
          <w:b/>
          <w:sz w:val="18"/>
          <w:szCs w:val="18"/>
        </w:rPr>
      </w:pPr>
      <w:r w:rsidRPr="00A51774">
        <w:rPr>
          <w:rFonts w:ascii="Verdana" w:hAnsi="Verdana"/>
          <w:b/>
          <w:sz w:val="18"/>
          <w:szCs w:val="18"/>
        </w:rPr>
        <w:t>INTRODUCTION:</w:t>
      </w:r>
    </w:p>
    <w:p w:rsidR="00920ACC" w:rsidRPr="00920ACC" w:rsidRDefault="00920ACC" w:rsidP="00920ACC">
      <w:pPr>
        <w:spacing w:after="0" w:line="360" w:lineRule="auto"/>
        <w:jc w:val="both"/>
        <w:outlineLvl w:val="0"/>
        <w:rPr>
          <w:rFonts w:ascii="Verdana" w:hAnsi="Verdana"/>
          <w:b/>
          <w:sz w:val="6"/>
          <w:szCs w:val="6"/>
        </w:rPr>
      </w:pPr>
    </w:p>
    <w:p w:rsidR="00920ACC" w:rsidRDefault="00920ACC" w:rsidP="00920ACC">
      <w:pPr>
        <w:widowControl w:val="0"/>
        <w:autoSpaceDE w:val="0"/>
        <w:autoSpaceDN w:val="0"/>
        <w:adjustRightInd w:val="0"/>
        <w:spacing w:after="0" w:line="360" w:lineRule="auto"/>
        <w:jc w:val="both"/>
        <w:rPr>
          <w:rFonts w:ascii="Verdana" w:hAnsi="Verdana"/>
          <w:sz w:val="18"/>
          <w:szCs w:val="18"/>
        </w:rPr>
      </w:pPr>
      <w:r w:rsidRPr="00920ACC">
        <w:rPr>
          <w:rFonts w:ascii="Verdana" w:hAnsi="Verdana"/>
          <w:sz w:val="18"/>
          <w:szCs w:val="18"/>
        </w:rPr>
        <w:t>In vitro, tetraploid embryos have been extensively applied in various research studies of animal biotechnology since last few years. The tetraploid embryos, having double complement of chromosomes instead of the usual diploid one, are useful model for generating valuable information on embryonic development. The application of tetraploid embryos are commonly used to generate mice directly from embryonic stem cells and to avoid embryonic lethality which may arise due to defective extra embryonic phenotypes (Nagy et al., 1990).</w:t>
      </w:r>
    </w:p>
    <w:p w:rsidR="00920ACC" w:rsidRPr="00920ACC" w:rsidRDefault="00920ACC" w:rsidP="00920ACC">
      <w:pPr>
        <w:widowControl w:val="0"/>
        <w:autoSpaceDE w:val="0"/>
        <w:autoSpaceDN w:val="0"/>
        <w:adjustRightInd w:val="0"/>
        <w:spacing w:after="0" w:line="360" w:lineRule="auto"/>
        <w:jc w:val="both"/>
        <w:rPr>
          <w:rFonts w:ascii="Verdana" w:hAnsi="Verdana"/>
          <w:sz w:val="10"/>
          <w:szCs w:val="10"/>
        </w:rPr>
      </w:pPr>
    </w:p>
    <w:p w:rsidR="00920ACC" w:rsidRPr="00920ACC" w:rsidRDefault="00920ACC" w:rsidP="00920ACC">
      <w:pPr>
        <w:pStyle w:val="ListParagraph"/>
        <w:widowControl w:val="0"/>
        <w:autoSpaceDE w:val="0"/>
        <w:autoSpaceDN w:val="0"/>
        <w:adjustRightInd w:val="0"/>
        <w:spacing w:after="0" w:line="360" w:lineRule="auto"/>
        <w:ind w:left="0"/>
        <w:jc w:val="center"/>
        <w:rPr>
          <w:rFonts w:ascii="Verdana" w:hAnsi="Verdana"/>
          <w:sz w:val="18"/>
          <w:szCs w:val="18"/>
        </w:rPr>
      </w:pPr>
      <w:r w:rsidRPr="00920ACC">
        <w:rPr>
          <w:rFonts w:ascii="Verdana" w:hAnsi="Verdana"/>
          <w:noProof/>
          <w:sz w:val="18"/>
          <w:szCs w:val="18"/>
        </w:rPr>
        <w:drawing>
          <wp:inline distT="0" distB="0" distL="0" distR="0" wp14:anchorId="2A861D3A" wp14:editId="761C0260">
            <wp:extent cx="4410075" cy="1825144"/>
            <wp:effectExtent l="19050" t="19050" r="9525" b="228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454944" cy="1843714"/>
                    </a:xfrm>
                    <a:prstGeom prst="rect">
                      <a:avLst/>
                    </a:prstGeom>
                    <a:ln>
                      <a:solidFill>
                        <a:schemeClr val="bg1">
                          <a:lumMod val="65000"/>
                        </a:schemeClr>
                      </a:solidFill>
                    </a:ln>
                  </pic:spPr>
                </pic:pic>
              </a:graphicData>
            </a:graphic>
          </wp:inline>
        </w:drawing>
      </w:r>
    </w:p>
    <w:p w:rsidR="00920ACC" w:rsidRPr="000F7DA7" w:rsidRDefault="00920ACC" w:rsidP="00920ACC">
      <w:pPr>
        <w:pStyle w:val="Caption"/>
        <w:spacing w:after="0"/>
        <w:jc w:val="center"/>
        <w:rPr>
          <w:rFonts w:ascii="Verdana" w:hAnsi="Verdana" w:cs="Times New Roman"/>
          <w:b w:val="0"/>
          <w:i/>
          <w:color w:val="auto"/>
          <w:sz w:val="16"/>
          <w:szCs w:val="16"/>
        </w:rPr>
      </w:pPr>
      <w:bookmarkStart w:id="4" w:name="_Toc519809135"/>
      <w:r w:rsidRPr="000F7DA7">
        <w:rPr>
          <w:rFonts w:ascii="Verdana" w:hAnsi="Verdana" w:cs="Times New Roman"/>
          <w:i/>
          <w:color w:val="auto"/>
          <w:sz w:val="16"/>
          <w:szCs w:val="16"/>
        </w:rPr>
        <w:t>Figure</w:t>
      </w:r>
      <w:r w:rsidR="000F7DA7" w:rsidRPr="000F7DA7">
        <w:rPr>
          <w:rFonts w:ascii="Verdana" w:hAnsi="Verdana" w:cs="Times New Roman"/>
          <w:i/>
          <w:color w:val="auto"/>
          <w:sz w:val="16"/>
          <w:szCs w:val="16"/>
        </w:rPr>
        <w:t xml:space="preserve"> 1</w:t>
      </w:r>
      <w:r w:rsidRPr="000F7DA7">
        <w:rPr>
          <w:rFonts w:ascii="Verdana" w:hAnsi="Verdana" w:cs="Times New Roman"/>
          <w:i/>
          <w:color w:val="auto"/>
          <w:sz w:val="16"/>
          <w:szCs w:val="16"/>
        </w:rPr>
        <w:t xml:space="preserve">: </w:t>
      </w:r>
      <w:r w:rsidRPr="000F7DA7">
        <w:rPr>
          <w:rFonts w:ascii="Verdana" w:hAnsi="Verdana" w:cs="Times New Roman"/>
          <w:b w:val="0"/>
          <w:i/>
          <w:color w:val="auto"/>
          <w:sz w:val="16"/>
          <w:szCs w:val="16"/>
        </w:rPr>
        <w:t>Application of tetraploid embryos in making an iPS-cell mouse</w:t>
      </w:r>
      <w:bookmarkEnd w:id="4"/>
    </w:p>
    <w:p w:rsidR="00920ACC" w:rsidRDefault="00920ACC" w:rsidP="00920ACC">
      <w:pPr>
        <w:rPr>
          <w:sz w:val="4"/>
          <w:szCs w:val="4"/>
        </w:rPr>
      </w:pPr>
    </w:p>
    <w:p w:rsidR="000F7DA7" w:rsidRPr="00920ACC" w:rsidRDefault="000F7DA7" w:rsidP="00920ACC">
      <w:pPr>
        <w:rPr>
          <w:sz w:val="4"/>
          <w:szCs w:val="4"/>
        </w:rPr>
      </w:pPr>
    </w:p>
    <w:p w:rsidR="00920ACC" w:rsidRPr="00920ACC" w:rsidRDefault="00920ACC" w:rsidP="00920ACC">
      <w:pPr>
        <w:spacing w:after="0"/>
        <w:rPr>
          <w:sz w:val="6"/>
          <w:szCs w:val="6"/>
        </w:rPr>
      </w:pPr>
    </w:p>
    <w:p w:rsidR="00920ACC" w:rsidRDefault="00920ACC" w:rsidP="00920ACC">
      <w:pPr>
        <w:widowControl w:val="0"/>
        <w:autoSpaceDE w:val="0"/>
        <w:autoSpaceDN w:val="0"/>
        <w:adjustRightInd w:val="0"/>
        <w:spacing w:after="0" w:line="360" w:lineRule="auto"/>
        <w:jc w:val="both"/>
        <w:rPr>
          <w:rFonts w:ascii="Verdana" w:hAnsi="Verdana"/>
          <w:sz w:val="18"/>
          <w:szCs w:val="18"/>
        </w:rPr>
      </w:pPr>
      <w:r w:rsidRPr="00920ACC">
        <w:rPr>
          <w:rFonts w:ascii="Verdana" w:hAnsi="Verdana"/>
          <w:sz w:val="18"/>
          <w:szCs w:val="18"/>
        </w:rPr>
        <w:t xml:space="preserve">There are three fundamental techniques to induce tetraploidy </w:t>
      </w:r>
      <w:r w:rsidRPr="00920ACC">
        <w:rPr>
          <w:rFonts w:ascii="Verdana" w:hAnsi="Verdana"/>
          <w:i/>
          <w:iCs/>
          <w:sz w:val="18"/>
          <w:szCs w:val="18"/>
        </w:rPr>
        <w:t>in vitro</w:t>
      </w:r>
      <w:r w:rsidRPr="00920ACC">
        <w:rPr>
          <w:rFonts w:ascii="Verdana" w:hAnsi="Verdana"/>
          <w:sz w:val="18"/>
          <w:szCs w:val="18"/>
        </w:rPr>
        <w:t xml:space="preserve">. First technique is that a nucleus (2n) is fused to a fertilized ovum surgically. The repeatably uniform tetraploid embryos were produced by this method but only 9–15% of the injected blastocysts survived due to surgical trauma (Modlinski, 1981). The second technique was to inhibit the cleavage with the help of chemicals such as cytochalasin B (CB), a microtubule destabilizer. The third technique was the most common technique to produce tetraploid embryos to induce fusion of two cell stage embryos by electric current. Initially inactivated Sendaivirus was used as the fusion agent (Graham, 1971) but main drawback of this method was that 2-cell stage embryos have to be treated individually as a result causing the slow rate of embryo production. Along with this, due to removal of the zona pellucida (before fusion) and culture of the embryos for two days </w:t>
      </w:r>
      <w:r w:rsidRPr="00920ACC">
        <w:rPr>
          <w:rFonts w:ascii="Verdana" w:hAnsi="Verdana"/>
          <w:i/>
          <w:iCs/>
          <w:sz w:val="18"/>
          <w:szCs w:val="18"/>
        </w:rPr>
        <w:t>in vitro</w:t>
      </w:r>
      <w:r w:rsidRPr="00920ACC">
        <w:rPr>
          <w:rFonts w:ascii="Verdana" w:hAnsi="Verdana"/>
          <w:sz w:val="18"/>
          <w:szCs w:val="18"/>
        </w:rPr>
        <w:t>, the survivability of embryos was lowered.</w:t>
      </w:r>
    </w:p>
    <w:p w:rsidR="00920ACC" w:rsidRPr="00920ACC" w:rsidRDefault="00920ACC" w:rsidP="00920ACC">
      <w:pPr>
        <w:widowControl w:val="0"/>
        <w:autoSpaceDE w:val="0"/>
        <w:autoSpaceDN w:val="0"/>
        <w:adjustRightInd w:val="0"/>
        <w:spacing w:after="0" w:line="360" w:lineRule="auto"/>
        <w:jc w:val="both"/>
        <w:rPr>
          <w:rFonts w:ascii="Verdana" w:hAnsi="Verdana"/>
          <w:sz w:val="18"/>
          <w:szCs w:val="18"/>
        </w:rPr>
      </w:pPr>
    </w:p>
    <w:p w:rsidR="00920ACC" w:rsidRPr="00920ACC" w:rsidRDefault="00920ACC" w:rsidP="00920ACC">
      <w:pPr>
        <w:widowControl w:val="0"/>
        <w:autoSpaceDE w:val="0"/>
        <w:autoSpaceDN w:val="0"/>
        <w:adjustRightInd w:val="0"/>
        <w:spacing w:after="0"/>
        <w:jc w:val="center"/>
        <w:rPr>
          <w:rFonts w:ascii="Verdana" w:hAnsi="Verdana"/>
          <w:sz w:val="18"/>
          <w:szCs w:val="18"/>
        </w:rPr>
      </w:pPr>
      <w:r w:rsidRPr="00920ACC">
        <w:rPr>
          <w:rFonts w:ascii="Verdana" w:hAnsi="Verdana"/>
          <w:noProof/>
          <w:sz w:val="18"/>
          <w:szCs w:val="18"/>
        </w:rPr>
        <w:drawing>
          <wp:inline distT="0" distB="0" distL="0" distR="0" wp14:anchorId="2B940195" wp14:editId="680D6966">
            <wp:extent cx="4080705" cy="2705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93361" cy="2713489"/>
                    </a:xfrm>
                    <a:prstGeom prst="rect">
                      <a:avLst/>
                    </a:prstGeom>
                  </pic:spPr>
                </pic:pic>
              </a:graphicData>
            </a:graphic>
          </wp:inline>
        </w:drawing>
      </w:r>
    </w:p>
    <w:p w:rsidR="00920ACC" w:rsidRPr="00A30CF6" w:rsidRDefault="00920ACC" w:rsidP="00920ACC">
      <w:pPr>
        <w:pStyle w:val="Caption"/>
        <w:jc w:val="center"/>
        <w:rPr>
          <w:rFonts w:ascii="Verdana" w:hAnsi="Verdana"/>
          <w:i/>
          <w:color w:val="auto"/>
          <w:sz w:val="16"/>
          <w:szCs w:val="16"/>
        </w:rPr>
      </w:pPr>
      <w:bookmarkStart w:id="5" w:name="_Toc519809468"/>
      <w:r w:rsidRPr="00A30CF6">
        <w:rPr>
          <w:rFonts w:ascii="Verdana" w:hAnsi="Verdana"/>
          <w:i/>
          <w:color w:val="auto"/>
          <w:sz w:val="16"/>
          <w:szCs w:val="16"/>
        </w:rPr>
        <w:t>Table</w:t>
      </w:r>
      <w:r w:rsidR="00A30CF6" w:rsidRPr="00A30CF6">
        <w:rPr>
          <w:rFonts w:ascii="Verdana" w:hAnsi="Verdana"/>
          <w:i/>
          <w:color w:val="auto"/>
          <w:sz w:val="16"/>
          <w:szCs w:val="16"/>
        </w:rPr>
        <w:t xml:space="preserve"> 1</w:t>
      </w:r>
      <w:r w:rsidRPr="00A30CF6">
        <w:rPr>
          <w:rFonts w:ascii="Verdana" w:hAnsi="Verdana"/>
          <w:i/>
          <w:color w:val="auto"/>
          <w:sz w:val="16"/>
          <w:szCs w:val="16"/>
        </w:rPr>
        <w:t xml:space="preserve">: </w:t>
      </w:r>
      <w:r w:rsidRPr="00A30CF6">
        <w:rPr>
          <w:rFonts w:ascii="Verdana" w:hAnsi="Verdana"/>
          <w:b w:val="0"/>
          <w:i/>
          <w:color w:val="auto"/>
          <w:sz w:val="16"/>
          <w:szCs w:val="16"/>
        </w:rPr>
        <w:t xml:space="preserve">Three fundamental techniques to induce tetraploidy </w:t>
      </w:r>
      <w:r w:rsidRPr="00A30CF6">
        <w:rPr>
          <w:rFonts w:ascii="Verdana" w:hAnsi="Verdana"/>
          <w:b w:val="0"/>
          <w:i/>
          <w:iCs/>
          <w:color w:val="auto"/>
          <w:sz w:val="16"/>
          <w:szCs w:val="16"/>
        </w:rPr>
        <w:t>in vitro</w:t>
      </w:r>
      <w:bookmarkEnd w:id="5"/>
    </w:p>
    <w:p w:rsidR="00920ACC" w:rsidRPr="00920ACC" w:rsidRDefault="00920ACC" w:rsidP="00920ACC">
      <w:pPr>
        <w:widowControl w:val="0"/>
        <w:autoSpaceDE w:val="0"/>
        <w:autoSpaceDN w:val="0"/>
        <w:adjustRightInd w:val="0"/>
        <w:spacing w:after="0" w:line="360" w:lineRule="auto"/>
        <w:ind w:left="360"/>
        <w:jc w:val="both"/>
        <w:rPr>
          <w:rFonts w:ascii="Verdana" w:hAnsi="Verdana"/>
          <w:sz w:val="18"/>
          <w:szCs w:val="18"/>
        </w:rPr>
      </w:pPr>
    </w:p>
    <w:p w:rsidR="00920ACC" w:rsidRPr="00920ACC" w:rsidRDefault="00920ACC" w:rsidP="00920ACC">
      <w:pPr>
        <w:widowControl w:val="0"/>
        <w:autoSpaceDE w:val="0"/>
        <w:autoSpaceDN w:val="0"/>
        <w:adjustRightInd w:val="0"/>
        <w:spacing w:after="0" w:line="360" w:lineRule="auto"/>
        <w:jc w:val="both"/>
        <w:rPr>
          <w:rFonts w:ascii="Verdana" w:hAnsi="Verdana"/>
          <w:sz w:val="18"/>
          <w:szCs w:val="18"/>
          <w:shd w:val="clear" w:color="auto" w:fill="FFFFFF"/>
        </w:rPr>
      </w:pPr>
      <w:r w:rsidRPr="00920ACC">
        <w:rPr>
          <w:rFonts w:ascii="Verdana" w:hAnsi="Verdana"/>
          <w:sz w:val="18"/>
          <w:szCs w:val="18"/>
          <w:shd w:val="clear" w:color="auto" w:fill="FFFFFF"/>
        </w:rPr>
        <w:t xml:space="preserve">In contrast to previous methods, using electric current to </w:t>
      </w:r>
      <w:r w:rsidRPr="00920ACC">
        <w:rPr>
          <w:rFonts w:ascii="Verdana" w:hAnsi="Verdana"/>
          <w:sz w:val="18"/>
          <w:szCs w:val="18"/>
        </w:rPr>
        <w:t>induce fusion of two cell stage embryos</w:t>
      </w:r>
      <w:r w:rsidRPr="00920ACC">
        <w:rPr>
          <w:rFonts w:ascii="Verdana" w:hAnsi="Verdana"/>
          <w:sz w:val="18"/>
          <w:szCs w:val="18"/>
          <w:shd w:val="clear" w:color="auto" w:fill="FFFFFF"/>
        </w:rPr>
        <w:t xml:space="preserve"> is one of the most accurate, measurable, repeatable, less toxic and well defined procedure which can be performed with the embryos (2-cell stage) having zona pellucida. During this procedure, these embryos are placed between two electrodes in fusion buffer, electrical stimulus is provided for very short duration (Darabi et al., 2008). During electrofusion due to applied alternating current (AC) electric field for alignment of embryos, the </w:t>
      </w:r>
      <w:r w:rsidRPr="00920ACC">
        <w:rPr>
          <w:rFonts w:ascii="Verdana" w:hAnsi="Verdana"/>
          <w:color w:val="000000"/>
          <w:sz w:val="18"/>
          <w:szCs w:val="18"/>
        </w:rPr>
        <w:t>important factor for successful fusion of the two cell stage embryos</w:t>
      </w:r>
      <w:r w:rsidRPr="00920ACC">
        <w:rPr>
          <w:rFonts w:ascii="Verdana" w:hAnsi="Verdana"/>
          <w:sz w:val="18"/>
          <w:szCs w:val="18"/>
          <w:shd w:val="clear" w:color="auto" w:fill="FFFFFF"/>
        </w:rPr>
        <w:t xml:space="preserve">, the </w:t>
      </w:r>
      <w:r w:rsidRPr="00920ACC">
        <w:rPr>
          <w:rFonts w:ascii="Verdana" w:hAnsi="Verdana"/>
          <w:color w:val="241F20"/>
          <w:sz w:val="18"/>
          <w:szCs w:val="18"/>
        </w:rPr>
        <w:t>embryos are oriented with the interface between the two blastomeres perpendicular to the electrodes</w:t>
      </w:r>
      <w:r w:rsidRPr="00920ACC">
        <w:rPr>
          <w:rFonts w:ascii="Verdana" w:hAnsi="Verdana"/>
          <w:sz w:val="18"/>
          <w:szCs w:val="18"/>
          <w:shd w:val="clear" w:color="auto" w:fill="FFFFFF"/>
        </w:rPr>
        <w:t>, then the membranes are polarized and in-stabilized, results in attraction of other membrane and formation of unstable flat membrane diaphragm, through reversible pore formation followed by reversible breakdown of the membrane (Darabi et al</w:t>
      </w:r>
      <w:r w:rsidRPr="00920ACC">
        <w:rPr>
          <w:rFonts w:ascii="Verdana" w:hAnsi="Verdana"/>
          <w:sz w:val="18"/>
          <w:szCs w:val="18"/>
          <w:shd w:val="clear" w:color="auto" w:fill="FFFFFF"/>
        </w:rPr>
        <w:softHyphen/>
        <w:t>., 2008).</w:t>
      </w:r>
    </w:p>
    <w:p w:rsidR="00920ACC" w:rsidRPr="00920ACC" w:rsidRDefault="00920ACC" w:rsidP="00920ACC">
      <w:pPr>
        <w:widowControl w:val="0"/>
        <w:autoSpaceDE w:val="0"/>
        <w:autoSpaceDN w:val="0"/>
        <w:adjustRightInd w:val="0"/>
        <w:spacing w:after="0" w:line="360" w:lineRule="auto"/>
        <w:jc w:val="both"/>
        <w:rPr>
          <w:rFonts w:ascii="Verdana" w:hAnsi="Verdana"/>
          <w:bCs/>
          <w:spacing w:val="-3"/>
          <w:sz w:val="18"/>
          <w:szCs w:val="18"/>
        </w:rPr>
      </w:pPr>
      <w:r w:rsidRPr="00920ACC">
        <w:rPr>
          <w:rFonts w:ascii="Verdana" w:hAnsi="Verdana"/>
          <w:sz w:val="18"/>
          <w:szCs w:val="18"/>
        </w:rPr>
        <w:t xml:space="preserve">There are numerous factors that affect the efficiency of electrofusion, such as electrical parameters, fusion medium, </w:t>
      </w:r>
      <w:r w:rsidRPr="00920ACC">
        <w:rPr>
          <w:rFonts w:ascii="Verdana" w:hAnsi="Verdana"/>
          <w:sz w:val="18"/>
          <w:szCs w:val="18"/>
          <w:shd w:val="clear" w:color="auto" w:fill="FFFFFF"/>
        </w:rPr>
        <w:t>alignment of embryos between electrodes, pulse number, exposure time and</w:t>
      </w:r>
      <w:r w:rsidRPr="00920ACC">
        <w:rPr>
          <w:rFonts w:ascii="Verdana" w:hAnsi="Verdana"/>
          <w:sz w:val="18"/>
          <w:szCs w:val="18"/>
        </w:rPr>
        <w:t xml:space="preserve"> characteristics of the cells. Attention in this study has been focused on choosing the optimal parameters of electric field with the aim of improving efficiency of cell fusion after electrofusion of 2-cell stage</w:t>
      </w:r>
      <w:r w:rsidRPr="00920ACC">
        <w:rPr>
          <w:rFonts w:ascii="Verdana" w:hAnsi="Verdana"/>
          <w:bCs/>
          <w:spacing w:val="-3"/>
          <w:sz w:val="18"/>
          <w:szCs w:val="18"/>
        </w:rPr>
        <w:t>, which requires more investigations to achieve high amount of blastocyst.</w:t>
      </w:r>
    </w:p>
    <w:p w:rsidR="00421C10" w:rsidRDefault="00421C10">
      <w:pPr>
        <w:rPr>
          <w:sz w:val="18"/>
          <w:szCs w:val="18"/>
        </w:rPr>
      </w:pPr>
    </w:p>
    <w:p w:rsidR="0086652B" w:rsidRPr="00A51774" w:rsidRDefault="000F7DA7">
      <w:pPr>
        <w:rPr>
          <w:sz w:val="18"/>
          <w:szCs w:val="18"/>
        </w:rPr>
      </w:pPr>
      <w:r>
        <w:rPr>
          <w:sz w:val="18"/>
          <w:szCs w:val="18"/>
        </w:rPr>
        <w:br w:type="page"/>
      </w:r>
    </w:p>
    <w:p w:rsidR="00920ACC" w:rsidRPr="00A51774" w:rsidRDefault="0086652B" w:rsidP="00A51774">
      <w:pPr>
        <w:pStyle w:val="ListParagraph"/>
        <w:numPr>
          <w:ilvl w:val="0"/>
          <w:numId w:val="2"/>
        </w:numPr>
        <w:spacing w:after="0" w:line="360" w:lineRule="auto"/>
        <w:ind w:left="360" w:hanging="360"/>
        <w:jc w:val="both"/>
        <w:outlineLvl w:val="0"/>
        <w:rPr>
          <w:rFonts w:ascii="Verdana" w:hAnsi="Verdana"/>
          <w:b/>
          <w:sz w:val="18"/>
          <w:szCs w:val="18"/>
        </w:rPr>
      </w:pPr>
      <w:r>
        <w:rPr>
          <w:rFonts w:ascii="Verdana" w:hAnsi="Verdana"/>
          <w:b/>
          <w:sz w:val="18"/>
          <w:szCs w:val="18"/>
        </w:rPr>
        <w:lastRenderedPageBreak/>
        <w:t>METHODS</w:t>
      </w:r>
      <w:r w:rsidR="00920ACC" w:rsidRPr="00A51774">
        <w:rPr>
          <w:rFonts w:ascii="Verdana" w:hAnsi="Verdana"/>
          <w:b/>
          <w:sz w:val="18"/>
          <w:szCs w:val="18"/>
        </w:rPr>
        <w:t>:</w:t>
      </w:r>
    </w:p>
    <w:p w:rsidR="00920ACC" w:rsidRPr="00A51774" w:rsidRDefault="00920ACC" w:rsidP="00920ACC">
      <w:pPr>
        <w:pStyle w:val="ListParagraph"/>
        <w:numPr>
          <w:ilvl w:val="1"/>
          <w:numId w:val="1"/>
        </w:numPr>
        <w:tabs>
          <w:tab w:val="left" w:pos="900"/>
        </w:tabs>
        <w:spacing w:after="0" w:line="360" w:lineRule="auto"/>
        <w:ind w:left="360" w:firstLine="0"/>
        <w:jc w:val="both"/>
        <w:outlineLvl w:val="1"/>
        <w:rPr>
          <w:rFonts w:ascii="Verdana" w:hAnsi="Verdana"/>
          <w:b/>
          <w:color w:val="548DD4" w:themeColor="text2" w:themeTint="99"/>
          <w:sz w:val="18"/>
          <w:szCs w:val="18"/>
        </w:rPr>
      </w:pPr>
      <w:bookmarkStart w:id="6" w:name="_Toc518292983"/>
      <w:bookmarkStart w:id="7" w:name="_Toc518303846"/>
      <w:bookmarkStart w:id="8" w:name="_Toc518304083"/>
      <w:r w:rsidRPr="00A51774">
        <w:rPr>
          <w:rFonts w:ascii="Verdana" w:hAnsi="Verdana"/>
          <w:b/>
          <w:color w:val="548DD4" w:themeColor="text2" w:themeTint="99"/>
          <w:sz w:val="18"/>
          <w:szCs w:val="18"/>
        </w:rPr>
        <w:t>Animals:</w:t>
      </w:r>
      <w:bookmarkEnd w:id="6"/>
      <w:bookmarkEnd w:id="7"/>
      <w:bookmarkEnd w:id="8"/>
    </w:p>
    <w:p w:rsidR="00920ACC" w:rsidRPr="00A51774" w:rsidRDefault="00920ACC" w:rsidP="00920ACC">
      <w:pPr>
        <w:pStyle w:val="ListParagraph"/>
        <w:spacing w:after="0" w:line="360" w:lineRule="auto"/>
        <w:ind w:left="360"/>
        <w:jc w:val="both"/>
        <w:rPr>
          <w:rFonts w:ascii="Verdana" w:hAnsi="Verdana"/>
          <w:sz w:val="18"/>
          <w:szCs w:val="18"/>
        </w:rPr>
      </w:pPr>
      <w:r w:rsidRPr="00A51774">
        <w:rPr>
          <w:rFonts w:ascii="Verdana" w:hAnsi="Verdana"/>
          <w:sz w:val="18"/>
          <w:szCs w:val="18"/>
        </w:rPr>
        <w:t>ICR male and female were used to produce in vivo fertilized embryo. These animals were cared and maintained in Mouse Room directly under Cellular Reprograming Laboratory in Vietnam National University – HCMC International University. Each male/female/pregnant/mother and babies/ used cage was labeled and placed into separated areas. They were fed artificial food with full of water bottle once a day. Their cages which kept about 8-10 mice per one, were cleaned up everyday.</w:t>
      </w:r>
    </w:p>
    <w:p w:rsidR="00A51774" w:rsidRPr="00A51774" w:rsidRDefault="00A51774" w:rsidP="00920ACC">
      <w:pPr>
        <w:pStyle w:val="ListParagraph"/>
        <w:spacing w:after="0" w:line="360" w:lineRule="auto"/>
        <w:ind w:left="360"/>
        <w:jc w:val="both"/>
        <w:rPr>
          <w:rFonts w:ascii="Verdana" w:hAnsi="Verdana"/>
          <w:sz w:val="18"/>
          <w:szCs w:val="18"/>
        </w:rPr>
      </w:pPr>
    </w:p>
    <w:p w:rsidR="00A51774" w:rsidRPr="00A51774" w:rsidRDefault="00A51774" w:rsidP="00A51774">
      <w:pPr>
        <w:pStyle w:val="ListParagraph"/>
        <w:numPr>
          <w:ilvl w:val="1"/>
          <w:numId w:val="1"/>
        </w:numPr>
        <w:tabs>
          <w:tab w:val="left" w:pos="900"/>
        </w:tabs>
        <w:spacing w:after="0" w:line="360" w:lineRule="auto"/>
        <w:ind w:left="360" w:firstLine="0"/>
        <w:jc w:val="both"/>
        <w:outlineLvl w:val="1"/>
        <w:rPr>
          <w:rFonts w:ascii="Verdana" w:hAnsi="Verdana"/>
          <w:b/>
          <w:color w:val="548DD4" w:themeColor="text2" w:themeTint="99"/>
          <w:sz w:val="18"/>
          <w:szCs w:val="18"/>
        </w:rPr>
      </w:pPr>
      <w:bookmarkStart w:id="9" w:name="_Toc518292984"/>
      <w:bookmarkStart w:id="10" w:name="_Toc518303847"/>
      <w:bookmarkStart w:id="11" w:name="_Toc518304084"/>
      <w:r w:rsidRPr="00A51774">
        <w:rPr>
          <w:rFonts w:ascii="Verdana" w:hAnsi="Verdana"/>
          <w:b/>
          <w:color w:val="548DD4" w:themeColor="text2" w:themeTint="99"/>
          <w:sz w:val="18"/>
          <w:szCs w:val="18"/>
        </w:rPr>
        <w:t>Mouse 2-Cell Fertilized Embryo Collection:</w:t>
      </w:r>
      <w:bookmarkEnd w:id="9"/>
      <w:bookmarkEnd w:id="10"/>
      <w:bookmarkEnd w:id="11"/>
    </w:p>
    <w:p w:rsidR="00A51774" w:rsidRPr="00A51774" w:rsidRDefault="00A51774" w:rsidP="00A51774">
      <w:pPr>
        <w:spacing w:after="0" w:line="360" w:lineRule="auto"/>
        <w:ind w:left="360"/>
        <w:rPr>
          <w:rFonts w:ascii="Verdana" w:hAnsi="Verdana"/>
          <w:sz w:val="18"/>
          <w:szCs w:val="18"/>
        </w:rPr>
      </w:pPr>
      <w:r w:rsidRPr="00A51774">
        <w:rPr>
          <w:rFonts w:ascii="Verdana" w:hAnsi="Verdana"/>
          <w:sz w:val="18"/>
          <w:szCs w:val="18"/>
        </w:rPr>
        <w:t xml:space="preserve">Mature 8-10 weeks female ICR mice were induced to superovulate by PMSG and hCG, then mated with male of the same strain. </w:t>
      </w:r>
    </w:p>
    <w:p w:rsidR="00A51774" w:rsidRPr="00421249" w:rsidRDefault="00A51774" w:rsidP="00A51774">
      <w:pPr>
        <w:pStyle w:val="ListParagraph"/>
        <w:spacing w:after="0" w:line="360" w:lineRule="auto"/>
        <w:jc w:val="center"/>
        <w:rPr>
          <w:rFonts w:ascii="Verdana" w:hAnsi="Verdana"/>
          <w:sz w:val="20"/>
          <w:szCs w:val="20"/>
        </w:rPr>
      </w:pPr>
      <w:r w:rsidRPr="00421249">
        <w:rPr>
          <w:rFonts w:ascii="Verdana" w:hAnsi="Verdana"/>
          <w:noProof/>
          <w:sz w:val="20"/>
          <w:szCs w:val="20"/>
        </w:rPr>
        <w:drawing>
          <wp:inline distT="0" distB="0" distL="0" distR="0" wp14:anchorId="33E56552" wp14:editId="026CD4B5">
            <wp:extent cx="3671140" cy="7620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96188" cy="767199"/>
                    </a:xfrm>
                    <a:prstGeom prst="rect">
                      <a:avLst/>
                    </a:prstGeom>
                  </pic:spPr>
                </pic:pic>
              </a:graphicData>
            </a:graphic>
          </wp:inline>
        </w:drawing>
      </w:r>
    </w:p>
    <w:p w:rsidR="00A51774" w:rsidRPr="00A51774" w:rsidRDefault="00A51774" w:rsidP="00A51774">
      <w:pPr>
        <w:pStyle w:val="Caption"/>
        <w:ind w:left="720"/>
        <w:jc w:val="center"/>
        <w:rPr>
          <w:rFonts w:ascii="Verdana" w:hAnsi="Verdana"/>
          <w:b w:val="0"/>
          <w:i/>
          <w:color w:val="auto"/>
          <w:sz w:val="16"/>
          <w:szCs w:val="16"/>
        </w:rPr>
      </w:pPr>
      <w:bookmarkStart w:id="12" w:name="_Toc519809470"/>
      <w:r w:rsidRPr="00A51774">
        <w:rPr>
          <w:rFonts w:ascii="Verdana" w:hAnsi="Verdana"/>
          <w:i/>
          <w:color w:val="auto"/>
          <w:sz w:val="16"/>
          <w:szCs w:val="16"/>
        </w:rPr>
        <w:t>Table</w:t>
      </w:r>
      <w:r w:rsidR="00A30CF6">
        <w:rPr>
          <w:rFonts w:ascii="Verdana" w:hAnsi="Verdana"/>
          <w:i/>
          <w:color w:val="auto"/>
          <w:sz w:val="16"/>
          <w:szCs w:val="16"/>
        </w:rPr>
        <w:t xml:space="preserve"> 2</w:t>
      </w:r>
      <w:r w:rsidRPr="00A51774">
        <w:rPr>
          <w:rFonts w:ascii="Verdana" w:hAnsi="Verdana"/>
          <w:i/>
          <w:color w:val="auto"/>
          <w:sz w:val="16"/>
          <w:szCs w:val="16"/>
        </w:rPr>
        <w:t>:</w:t>
      </w:r>
      <w:r w:rsidRPr="00A51774">
        <w:rPr>
          <w:rFonts w:ascii="Verdana" w:hAnsi="Verdana"/>
          <w:b w:val="0"/>
          <w:i/>
          <w:color w:val="auto"/>
          <w:sz w:val="16"/>
          <w:szCs w:val="16"/>
        </w:rPr>
        <w:t xml:space="preserve"> Schedule of hormone injection for collection of fertilized embryos</w:t>
      </w:r>
      <w:bookmarkEnd w:id="12"/>
    </w:p>
    <w:p w:rsidR="00A51774" w:rsidRPr="00A51774" w:rsidRDefault="00A51774" w:rsidP="00A51774">
      <w:pPr>
        <w:spacing w:line="360" w:lineRule="auto"/>
        <w:ind w:left="360"/>
        <w:jc w:val="both"/>
        <w:rPr>
          <w:rFonts w:ascii="Verdana" w:hAnsi="Verdana"/>
          <w:sz w:val="18"/>
          <w:szCs w:val="18"/>
        </w:rPr>
      </w:pPr>
      <w:r w:rsidRPr="00A51774">
        <w:rPr>
          <w:rFonts w:ascii="Verdana" w:hAnsi="Verdana"/>
          <w:sz w:val="18"/>
          <w:szCs w:val="18"/>
        </w:rPr>
        <w:t xml:space="preserve">About 40h after the hCG injection, 2-cell embryos were collected by using mouth pipette in </w:t>
      </w:r>
      <w:r w:rsidRPr="00A51774">
        <w:rPr>
          <w:rFonts w:ascii="Verdana" w:hAnsi="Verdana"/>
          <w:sz w:val="18"/>
          <w:szCs w:val="18"/>
          <w:shd w:val="clear" w:color="auto" w:fill="FFFFFF"/>
        </w:rPr>
        <w:t>fresh HEPES-mZCB medium. Embryos were transferred to a 35-mm petri dish containing mCZB-BSA medium</w:t>
      </w:r>
      <w:r w:rsidRPr="00A51774">
        <w:rPr>
          <w:rFonts w:ascii="Verdana" w:hAnsi="Verdana"/>
          <w:sz w:val="18"/>
          <w:szCs w:val="18"/>
        </w:rPr>
        <w:t xml:space="preserve">. </w:t>
      </w:r>
      <w:r w:rsidRPr="00A51774">
        <w:rPr>
          <w:rFonts w:ascii="Verdana" w:hAnsi="Verdana"/>
          <w:sz w:val="18"/>
          <w:szCs w:val="18"/>
          <w:shd w:val="clear" w:color="auto" w:fill="FFFFFF"/>
        </w:rPr>
        <w:t>These embryos were recovered and kept at 37°C under 5% CO</w:t>
      </w:r>
      <w:r w:rsidRPr="00A51774">
        <w:rPr>
          <w:rFonts w:ascii="Verdana" w:hAnsi="Verdana"/>
          <w:sz w:val="18"/>
          <w:szCs w:val="18"/>
          <w:shd w:val="clear" w:color="auto" w:fill="FFFFFF"/>
          <w:vertAlign w:val="subscript"/>
        </w:rPr>
        <w:t>2</w:t>
      </w:r>
      <w:r w:rsidRPr="00A51774">
        <w:rPr>
          <w:rFonts w:ascii="Verdana" w:hAnsi="Verdana"/>
          <w:sz w:val="18"/>
          <w:szCs w:val="18"/>
          <w:shd w:val="clear" w:color="auto" w:fill="FFFFFF"/>
        </w:rPr>
        <w:t xml:space="preserve"> in an incubator.</w:t>
      </w:r>
    </w:p>
    <w:p w:rsidR="00A51774" w:rsidRDefault="00A51774" w:rsidP="00A51774">
      <w:pPr>
        <w:pStyle w:val="ListParagraph"/>
        <w:tabs>
          <w:tab w:val="left" w:pos="1350"/>
        </w:tabs>
        <w:spacing w:after="0" w:line="360" w:lineRule="auto"/>
        <w:jc w:val="center"/>
        <w:rPr>
          <w:rFonts w:ascii="Verdana" w:hAnsi="Verdana"/>
          <w:b/>
          <w:color w:val="548DD4" w:themeColor="text2" w:themeTint="99"/>
          <w:sz w:val="20"/>
          <w:szCs w:val="20"/>
        </w:rPr>
      </w:pPr>
      <w:r>
        <w:rPr>
          <w:noProof/>
        </w:rPr>
        <w:drawing>
          <wp:inline distT="0" distB="0" distL="0" distR="0" wp14:anchorId="70603F6C" wp14:editId="376E11D7">
            <wp:extent cx="2743200" cy="1304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756629" cy="1311313"/>
                    </a:xfrm>
                    <a:prstGeom prst="rect">
                      <a:avLst/>
                    </a:prstGeom>
                  </pic:spPr>
                </pic:pic>
              </a:graphicData>
            </a:graphic>
          </wp:inline>
        </w:drawing>
      </w:r>
    </w:p>
    <w:p w:rsidR="00A51774" w:rsidRDefault="00A51774" w:rsidP="00A51774">
      <w:pPr>
        <w:pStyle w:val="Caption"/>
        <w:spacing w:after="0"/>
        <w:ind w:left="720"/>
        <w:jc w:val="center"/>
        <w:rPr>
          <w:rFonts w:ascii="Verdana" w:hAnsi="Verdana"/>
          <w:b w:val="0"/>
          <w:i/>
          <w:iCs/>
          <w:color w:val="auto"/>
          <w:sz w:val="16"/>
          <w:szCs w:val="16"/>
        </w:rPr>
      </w:pPr>
      <w:bookmarkStart w:id="13" w:name="_Toc519809138"/>
      <w:r>
        <w:rPr>
          <w:rFonts w:ascii="Verdana" w:hAnsi="Verdana"/>
          <w:i/>
          <w:color w:val="auto"/>
          <w:sz w:val="16"/>
          <w:szCs w:val="16"/>
        </w:rPr>
        <w:t>Figure</w:t>
      </w:r>
      <w:r w:rsidR="00A30CF6">
        <w:rPr>
          <w:rFonts w:ascii="Verdana" w:hAnsi="Verdana"/>
          <w:i/>
          <w:color w:val="auto"/>
          <w:sz w:val="16"/>
          <w:szCs w:val="16"/>
        </w:rPr>
        <w:t xml:space="preserve"> </w:t>
      </w:r>
      <w:r w:rsidR="000F7DA7">
        <w:rPr>
          <w:rFonts w:ascii="Verdana" w:hAnsi="Verdana"/>
          <w:i/>
          <w:color w:val="auto"/>
          <w:sz w:val="16"/>
          <w:szCs w:val="16"/>
        </w:rPr>
        <w:t>2</w:t>
      </w:r>
      <w:r>
        <w:rPr>
          <w:rFonts w:ascii="Verdana" w:hAnsi="Verdana"/>
          <w:i/>
          <w:color w:val="auto"/>
          <w:sz w:val="16"/>
          <w:szCs w:val="16"/>
        </w:rPr>
        <w:t xml:space="preserve">: </w:t>
      </w:r>
      <w:r w:rsidRPr="00A51774">
        <w:rPr>
          <w:rFonts w:ascii="Verdana" w:hAnsi="Verdana"/>
          <w:b w:val="0"/>
          <w:i/>
          <w:iCs/>
          <w:color w:val="auto"/>
          <w:sz w:val="16"/>
          <w:szCs w:val="16"/>
        </w:rPr>
        <w:t>Collection of embryos by flushing excised oviduct</w:t>
      </w:r>
      <w:bookmarkEnd w:id="13"/>
    </w:p>
    <w:p w:rsidR="00A51774" w:rsidRPr="00A51774" w:rsidRDefault="00A51774" w:rsidP="00A51774">
      <w:pPr>
        <w:spacing w:after="0"/>
      </w:pPr>
    </w:p>
    <w:p w:rsidR="00A51774" w:rsidRPr="00A51774" w:rsidRDefault="00A51774" w:rsidP="00A51774">
      <w:pPr>
        <w:pStyle w:val="ListParagraph"/>
        <w:numPr>
          <w:ilvl w:val="1"/>
          <w:numId w:val="1"/>
        </w:numPr>
        <w:tabs>
          <w:tab w:val="left" w:pos="900"/>
        </w:tabs>
        <w:spacing w:after="0" w:line="360" w:lineRule="auto"/>
        <w:ind w:left="360" w:firstLine="0"/>
        <w:jc w:val="both"/>
        <w:outlineLvl w:val="1"/>
        <w:rPr>
          <w:rFonts w:ascii="Verdana" w:hAnsi="Verdana"/>
          <w:b/>
          <w:color w:val="548DD4" w:themeColor="text2" w:themeTint="99"/>
          <w:sz w:val="18"/>
          <w:szCs w:val="18"/>
        </w:rPr>
      </w:pPr>
      <w:bookmarkStart w:id="14" w:name="_Toc518292988"/>
      <w:bookmarkStart w:id="15" w:name="_Toc518303851"/>
      <w:bookmarkStart w:id="16" w:name="_Toc518304088"/>
      <w:r w:rsidRPr="00A51774">
        <w:rPr>
          <w:rFonts w:ascii="Verdana" w:hAnsi="Verdana"/>
          <w:b/>
          <w:color w:val="548DD4" w:themeColor="text2" w:themeTint="99"/>
          <w:sz w:val="18"/>
          <w:szCs w:val="18"/>
        </w:rPr>
        <w:t>Electrofusion of Diploid Embryos:</w:t>
      </w:r>
      <w:bookmarkEnd w:id="14"/>
      <w:bookmarkEnd w:id="15"/>
      <w:bookmarkEnd w:id="16"/>
    </w:p>
    <w:p w:rsidR="00A51774" w:rsidRDefault="00A51774" w:rsidP="0086652B">
      <w:pPr>
        <w:pStyle w:val="ListParagraph"/>
        <w:spacing w:after="0" w:line="360" w:lineRule="auto"/>
        <w:ind w:left="360"/>
        <w:jc w:val="both"/>
        <w:rPr>
          <w:rFonts w:ascii="Verdana" w:hAnsi="Verdana"/>
          <w:color w:val="241F20"/>
          <w:sz w:val="18"/>
          <w:szCs w:val="18"/>
        </w:rPr>
      </w:pPr>
      <w:r w:rsidRPr="00A51774">
        <w:rPr>
          <w:rFonts w:ascii="Verdana" w:hAnsi="Verdana"/>
          <w:color w:val="241F20"/>
          <w:sz w:val="18"/>
          <w:szCs w:val="18"/>
        </w:rPr>
        <w:t>An electro cell fusion system (Model LF201; NEPAGENE Co, LTD, Chiba, Japan) was used to electrofuse the two-cell stage embryos prepared by in vitro culture to generate tetraploid embryos. The electrofusion solution is composed of 0.3 M mannitol, 0.1 mM MgSO</w:t>
      </w:r>
      <w:r w:rsidRPr="00A51774">
        <w:rPr>
          <w:rFonts w:ascii="Verdana" w:hAnsi="Verdana"/>
          <w:color w:val="241F20"/>
          <w:sz w:val="18"/>
          <w:szCs w:val="18"/>
          <w:vertAlign w:val="subscript"/>
        </w:rPr>
        <w:t>4</w:t>
      </w:r>
      <w:r w:rsidRPr="00A51774">
        <w:rPr>
          <w:rFonts w:ascii="Verdana" w:hAnsi="Verdana"/>
          <w:color w:val="241F20"/>
          <w:sz w:val="18"/>
          <w:szCs w:val="18"/>
        </w:rPr>
        <w:t>, and 0.05 mM CaCl</w:t>
      </w:r>
      <w:r w:rsidRPr="00A51774">
        <w:rPr>
          <w:rFonts w:ascii="Verdana" w:hAnsi="Verdana"/>
          <w:color w:val="241F20"/>
          <w:sz w:val="18"/>
          <w:szCs w:val="18"/>
          <w:vertAlign w:val="subscript"/>
        </w:rPr>
        <w:t>2</w:t>
      </w:r>
      <w:r w:rsidRPr="00A51774">
        <w:rPr>
          <w:rFonts w:ascii="Verdana" w:hAnsi="Verdana"/>
          <w:color w:val="241F20"/>
          <w:sz w:val="18"/>
          <w:szCs w:val="18"/>
        </w:rPr>
        <w:t xml:space="preserve"> supplemented with 1% PVA (w/v). The embryos (generally 10-15 embryos at a time) were lined up in 20 µl of the electrofusion solution in single file between two parallel stainless-steel electrodes in a chamber. Embryos are oriented with the interface between the two blastomeres perpendicular to the electrodes using an A/C orientation field, then the aligned embryos are pulsed with D/C current to initiate blastomere fusion. Electrofused embryos are washed three times and incubated for development in mCZB-BSA medium. After 30-45 minutes, they were examined and separated embryos having fusion of 2 blastomeres to new drops.</w:t>
      </w:r>
    </w:p>
    <w:p w:rsidR="0086652B" w:rsidRPr="0086652B" w:rsidRDefault="0086652B" w:rsidP="0086652B">
      <w:pPr>
        <w:pStyle w:val="ListParagraph"/>
        <w:spacing w:after="0" w:line="360" w:lineRule="auto"/>
        <w:ind w:left="360"/>
        <w:jc w:val="both"/>
        <w:rPr>
          <w:rFonts w:ascii="Verdana" w:hAnsi="Verdana"/>
          <w:color w:val="241F20"/>
          <w:sz w:val="4"/>
          <w:szCs w:val="4"/>
        </w:rPr>
      </w:pPr>
    </w:p>
    <w:tbl>
      <w:tblPr>
        <w:tblStyle w:val="TableGrid"/>
        <w:tblW w:w="0" w:type="auto"/>
        <w:jc w:val="center"/>
        <w:tblInd w:w="828" w:type="dxa"/>
        <w:tblLook w:val="04A0" w:firstRow="1" w:lastRow="0" w:firstColumn="1" w:lastColumn="0" w:noHBand="0" w:noVBand="1"/>
      </w:tblPr>
      <w:tblGrid>
        <w:gridCol w:w="2360"/>
        <w:gridCol w:w="2751"/>
        <w:gridCol w:w="2381"/>
      </w:tblGrid>
      <w:tr w:rsidR="00A51774" w:rsidRPr="00A51774" w:rsidTr="0086652B">
        <w:trPr>
          <w:jc w:val="center"/>
        </w:trPr>
        <w:tc>
          <w:tcPr>
            <w:tcW w:w="2360" w:type="dxa"/>
            <w:shd w:val="clear" w:color="auto" w:fill="C6D9F1" w:themeFill="text2" w:themeFillTint="33"/>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Experimental Group</w:t>
            </w:r>
          </w:p>
        </w:tc>
        <w:tc>
          <w:tcPr>
            <w:tcW w:w="2751" w:type="dxa"/>
            <w:shd w:val="clear" w:color="auto" w:fill="C6D9F1" w:themeFill="text2" w:themeFillTint="33"/>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Alternating Current (A/C)</w:t>
            </w:r>
          </w:p>
        </w:tc>
        <w:tc>
          <w:tcPr>
            <w:tcW w:w="2381" w:type="dxa"/>
            <w:shd w:val="clear" w:color="auto" w:fill="C6D9F1" w:themeFill="text2" w:themeFillTint="33"/>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Direct Current (D/C)</w:t>
            </w:r>
          </w:p>
        </w:tc>
      </w:tr>
      <w:tr w:rsidR="00A51774" w:rsidRPr="00A51774" w:rsidTr="0086652B">
        <w:trPr>
          <w:jc w:val="center"/>
        </w:trPr>
        <w:tc>
          <w:tcPr>
            <w:tcW w:w="2360" w:type="dxa"/>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Group 1</w:t>
            </w:r>
          </w:p>
        </w:tc>
        <w:tc>
          <w:tcPr>
            <w:tcW w:w="2751" w:type="dxa"/>
          </w:tcPr>
          <w:p w:rsidR="00A51774" w:rsidRPr="0086652B" w:rsidRDefault="00A51774" w:rsidP="00B936CD">
            <w:pPr>
              <w:pStyle w:val="ListParagraph"/>
              <w:spacing w:line="360" w:lineRule="auto"/>
              <w:ind w:left="0"/>
              <w:jc w:val="center"/>
              <w:rPr>
                <w:rFonts w:ascii="Verdana" w:hAnsi="Verdana"/>
                <w:color w:val="241F20"/>
                <w:sz w:val="16"/>
                <w:szCs w:val="16"/>
              </w:rPr>
            </w:pPr>
            <w:r w:rsidRPr="0086652B">
              <w:rPr>
                <w:rFonts w:ascii="Verdana" w:hAnsi="Verdana"/>
                <w:color w:val="241F20"/>
                <w:sz w:val="16"/>
                <w:szCs w:val="16"/>
              </w:rPr>
              <w:t>80 V</w:t>
            </w:r>
          </w:p>
        </w:tc>
        <w:tc>
          <w:tcPr>
            <w:tcW w:w="2381" w:type="dxa"/>
          </w:tcPr>
          <w:p w:rsidR="00A51774" w:rsidRPr="0086652B" w:rsidRDefault="00A51774" w:rsidP="00B936CD">
            <w:pPr>
              <w:pStyle w:val="ListParagraph"/>
              <w:spacing w:line="360" w:lineRule="auto"/>
              <w:ind w:left="0"/>
              <w:jc w:val="center"/>
              <w:rPr>
                <w:rFonts w:ascii="Verdana" w:hAnsi="Verdana"/>
                <w:color w:val="241F20"/>
                <w:sz w:val="16"/>
                <w:szCs w:val="16"/>
              </w:rPr>
            </w:pPr>
            <w:r w:rsidRPr="0086652B">
              <w:rPr>
                <w:rFonts w:ascii="Verdana" w:hAnsi="Verdana"/>
                <w:color w:val="241F20"/>
                <w:sz w:val="16"/>
                <w:szCs w:val="16"/>
              </w:rPr>
              <w:t>100 V</w:t>
            </w:r>
          </w:p>
        </w:tc>
      </w:tr>
      <w:tr w:rsidR="00A51774" w:rsidRPr="00A51774" w:rsidTr="0086652B">
        <w:trPr>
          <w:jc w:val="center"/>
        </w:trPr>
        <w:tc>
          <w:tcPr>
            <w:tcW w:w="2360" w:type="dxa"/>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Group 2</w:t>
            </w:r>
          </w:p>
        </w:tc>
        <w:tc>
          <w:tcPr>
            <w:tcW w:w="2751" w:type="dxa"/>
          </w:tcPr>
          <w:p w:rsidR="00A51774" w:rsidRPr="0086652B" w:rsidRDefault="00A51774" w:rsidP="00B936CD">
            <w:pPr>
              <w:pStyle w:val="ListParagraph"/>
              <w:spacing w:line="360" w:lineRule="auto"/>
              <w:ind w:left="0"/>
              <w:jc w:val="center"/>
              <w:rPr>
                <w:rFonts w:ascii="Verdana" w:hAnsi="Verdana"/>
                <w:color w:val="241F20"/>
                <w:sz w:val="16"/>
                <w:szCs w:val="16"/>
              </w:rPr>
            </w:pPr>
            <w:r w:rsidRPr="0086652B">
              <w:rPr>
                <w:rFonts w:ascii="Verdana" w:hAnsi="Verdana"/>
                <w:color w:val="241F20"/>
                <w:sz w:val="16"/>
                <w:szCs w:val="16"/>
              </w:rPr>
              <w:t>75 V</w:t>
            </w:r>
          </w:p>
        </w:tc>
        <w:tc>
          <w:tcPr>
            <w:tcW w:w="2381" w:type="dxa"/>
          </w:tcPr>
          <w:p w:rsidR="00A51774" w:rsidRPr="0086652B" w:rsidRDefault="00A51774" w:rsidP="00B936CD">
            <w:pPr>
              <w:pStyle w:val="ListParagraph"/>
              <w:spacing w:line="360" w:lineRule="auto"/>
              <w:ind w:left="0"/>
              <w:jc w:val="center"/>
              <w:rPr>
                <w:rFonts w:ascii="Verdana" w:hAnsi="Verdana"/>
                <w:color w:val="241F20"/>
                <w:sz w:val="16"/>
                <w:szCs w:val="16"/>
              </w:rPr>
            </w:pPr>
            <w:r w:rsidRPr="0086652B">
              <w:rPr>
                <w:rFonts w:ascii="Verdana" w:hAnsi="Verdana"/>
                <w:color w:val="241F20"/>
                <w:sz w:val="16"/>
                <w:szCs w:val="16"/>
              </w:rPr>
              <w:t>100 V</w:t>
            </w:r>
          </w:p>
        </w:tc>
      </w:tr>
      <w:tr w:rsidR="00A51774" w:rsidRPr="00A51774" w:rsidTr="0086652B">
        <w:trPr>
          <w:jc w:val="center"/>
        </w:trPr>
        <w:tc>
          <w:tcPr>
            <w:tcW w:w="2360" w:type="dxa"/>
          </w:tcPr>
          <w:p w:rsidR="00A51774" w:rsidRPr="0086652B" w:rsidRDefault="00A51774" w:rsidP="00B936CD">
            <w:pPr>
              <w:pStyle w:val="ListParagraph"/>
              <w:spacing w:line="360" w:lineRule="auto"/>
              <w:ind w:left="0"/>
              <w:jc w:val="center"/>
              <w:rPr>
                <w:rFonts w:ascii="Verdana" w:hAnsi="Verdana"/>
                <w:b/>
                <w:color w:val="241F20"/>
                <w:sz w:val="16"/>
                <w:szCs w:val="16"/>
              </w:rPr>
            </w:pPr>
            <w:r w:rsidRPr="0086652B">
              <w:rPr>
                <w:rFonts w:ascii="Verdana" w:hAnsi="Verdana"/>
                <w:b/>
                <w:color w:val="241F20"/>
                <w:sz w:val="16"/>
                <w:szCs w:val="16"/>
              </w:rPr>
              <w:t>Group 3</w:t>
            </w:r>
          </w:p>
        </w:tc>
        <w:tc>
          <w:tcPr>
            <w:tcW w:w="2751" w:type="dxa"/>
          </w:tcPr>
          <w:p w:rsidR="00A51774" w:rsidRPr="0086652B" w:rsidRDefault="00A51774" w:rsidP="00B936CD">
            <w:pPr>
              <w:spacing w:line="360" w:lineRule="auto"/>
              <w:jc w:val="center"/>
              <w:rPr>
                <w:rFonts w:ascii="Verdana" w:hAnsi="Verdana"/>
                <w:color w:val="241F20"/>
                <w:sz w:val="16"/>
                <w:szCs w:val="16"/>
              </w:rPr>
            </w:pPr>
            <w:r w:rsidRPr="0086652B">
              <w:rPr>
                <w:rFonts w:ascii="Verdana" w:hAnsi="Verdana"/>
                <w:color w:val="241F20"/>
                <w:sz w:val="16"/>
                <w:szCs w:val="16"/>
              </w:rPr>
              <w:t>70 V</w:t>
            </w:r>
          </w:p>
        </w:tc>
        <w:tc>
          <w:tcPr>
            <w:tcW w:w="2381" w:type="dxa"/>
          </w:tcPr>
          <w:p w:rsidR="00A51774" w:rsidRPr="0086652B" w:rsidRDefault="00A51774" w:rsidP="00B936CD">
            <w:pPr>
              <w:spacing w:line="360" w:lineRule="auto"/>
              <w:jc w:val="center"/>
              <w:rPr>
                <w:rFonts w:ascii="Verdana" w:hAnsi="Verdana"/>
                <w:color w:val="241F20"/>
                <w:sz w:val="16"/>
                <w:szCs w:val="16"/>
              </w:rPr>
            </w:pPr>
            <w:r w:rsidRPr="0086652B">
              <w:rPr>
                <w:rFonts w:ascii="Verdana" w:hAnsi="Verdana"/>
                <w:color w:val="241F20"/>
                <w:sz w:val="16"/>
                <w:szCs w:val="16"/>
              </w:rPr>
              <w:t>100 V</w:t>
            </w:r>
          </w:p>
        </w:tc>
      </w:tr>
    </w:tbl>
    <w:p w:rsidR="00A51774" w:rsidRDefault="00A51774" w:rsidP="00A51774">
      <w:pPr>
        <w:pStyle w:val="ListParagraph"/>
        <w:tabs>
          <w:tab w:val="left" w:pos="900"/>
        </w:tabs>
        <w:spacing w:after="0" w:line="360" w:lineRule="auto"/>
        <w:ind w:left="900"/>
        <w:jc w:val="both"/>
        <w:outlineLvl w:val="1"/>
        <w:rPr>
          <w:rFonts w:ascii="Verdana" w:hAnsi="Verdana"/>
          <w:b/>
          <w:color w:val="548DD4" w:themeColor="text2" w:themeTint="99"/>
          <w:sz w:val="18"/>
          <w:szCs w:val="18"/>
        </w:rPr>
      </w:pPr>
      <w:bookmarkStart w:id="17" w:name="_Toc518292989"/>
      <w:bookmarkStart w:id="18" w:name="_Toc518303852"/>
      <w:bookmarkStart w:id="19" w:name="_Toc518304089"/>
    </w:p>
    <w:p w:rsidR="00A51774" w:rsidRPr="00A51774" w:rsidRDefault="0086652B" w:rsidP="0086652B">
      <w:pPr>
        <w:pStyle w:val="ListParagraph"/>
        <w:numPr>
          <w:ilvl w:val="1"/>
          <w:numId w:val="1"/>
        </w:numPr>
        <w:tabs>
          <w:tab w:val="left" w:pos="900"/>
        </w:tabs>
        <w:spacing w:after="0" w:line="360" w:lineRule="auto"/>
        <w:ind w:left="900" w:right="-90" w:hanging="540"/>
        <w:jc w:val="both"/>
        <w:outlineLvl w:val="1"/>
        <w:rPr>
          <w:rFonts w:ascii="Verdana" w:hAnsi="Verdana"/>
          <w:b/>
          <w:color w:val="548DD4" w:themeColor="text2" w:themeTint="99"/>
          <w:sz w:val="18"/>
          <w:szCs w:val="18"/>
        </w:rPr>
      </w:pPr>
      <w:r>
        <w:rPr>
          <w:rFonts w:ascii="Verdana" w:hAnsi="Verdana"/>
          <w:b/>
          <w:color w:val="548DD4" w:themeColor="text2" w:themeTint="99"/>
          <w:sz w:val="18"/>
          <w:szCs w:val="18"/>
        </w:rPr>
        <w:t xml:space="preserve">Evaluation </w:t>
      </w:r>
      <w:r w:rsidR="00A51774" w:rsidRPr="00A51774">
        <w:rPr>
          <w:rFonts w:ascii="Verdana" w:hAnsi="Verdana"/>
          <w:b/>
          <w:color w:val="548DD4" w:themeColor="text2" w:themeTint="99"/>
          <w:sz w:val="18"/>
          <w:szCs w:val="18"/>
        </w:rPr>
        <w:t>Characteristics of Pre-Implantation Development of Tetraploid Embryos:</w:t>
      </w:r>
      <w:bookmarkEnd w:id="17"/>
      <w:bookmarkEnd w:id="18"/>
      <w:bookmarkEnd w:id="19"/>
    </w:p>
    <w:p w:rsidR="00A51774" w:rsidRPr="00A51774" w:rsidRDefault="00A51774" w:rsidP="00A51774">
      <w:pPr>
        <w:pStyle w:val="ListParagraph"/>
        <w:numPr>
          <w:ilvl w:val="2"/>
          <w:numId w:val="1"/>
        </w:numPr>
        <w:tabs>
          <w:tab w:val="left" w:pos="1350"/>
          <w:tab w:val="left" w:pos="1440"/>
          <w:tab w:val="left" w:pos="1620"/>
        </w:tabs>
        <w:spacing w:after="0" w:line="360" w:lineRule="auto"/>
        <w:ind w:left="1620"/>
        <w:jc w:val="both"/>
        <w:outlineLvl w:val="2"/>
        <w:rPr>
          <w:rFonts w:ascii="Verdana" w:hAnsi="Verdana"/>
          <w:b/>
          <w:color w:val="548DD4" w:themeColor="text2" w:themeTint="99"/>
          <w:sz w:val="18"/>
          <w:szCs w:val="18"/>
        </w:rPr>
      </w:pPr>
      <w:bookmarkStart w:id="20" w:name="_Toc518292990"/>
      <w:bookmarkStart w:id="21" w:name="_Toc518303853"/>
      <w:bookmarkStart w:id="22" w:name="_Toc518304090"/>
      <w:r w:rsidRPr="00A51774">
        <w:rPr>
          <w:rFonts w:ascii="Verdana" w:hAnsi="Verdana"/>
          <w:b/>
          <w:bCs/>
          <w:color w:val="548DD4" w:themeColor="text2" w:themeTint="99"/>
          <w:sz w:val="18"/>
          <w:szCs w:val="18"/>
        </w:rPr>
        <w:t xml:space="preserve">Assessment of DAPI And CDX2 Expression </w:t>
      </w:r>
      <w:bookmarkEnd w:id="20"/>
      <w:bookmarkEnd w:id="21"/>
      <w:bookmarkEnd w:id="22"/>
    </w:p>
    <w:p w:rsidR="0086652B" w:rsidRDefault="0086652B" w:rsidP="0086652B">
      <w:pPr>
        <w:pStyle w:val="ListParagraph"/>
        <w:tabs>
          <w:tab w:val="left" w:pos="1350"/>
        </w:tabs>
        <w:spacing w:after="0" w:line="360" w:lineRule="auto"/>
        <w:jc w:val="both"/>
        <w:rPr>
          <w:rFonts w:ascii="Verdana" w:hAnsi="Verdana"/>
          <w:bCs/>
          <w:sz w:val="18"/>
          <w:szCs w:val="18"/>
        </w:rPr>
      </w:pPr>
      <w:r w:rsidRPr="0086652B">
        <w:rPr>
          <w:rFonts w:ascii="Verdana" w:hAnsi="Verdana"/>
          <w:color w:val="241F20"/>
          <w:sz w:val="18"/>
          <w:szCs w:val="18"/>
        </w:rPr>
        <w:t>In order to clarify evidence that tetraploid embryos contribute only to the placenta, the expanded blastocysts at 112 hr after hCG injection (72 hr from the time of electrofusion) were fixed with 150 µl paraformaldehyde for 30 mins at room temperature. The fixed blastocysts were washed twice with 150 µl PBS-BSA-PVA and then stored overnight with 100 µl Triton X-100 at 4</w:t>
      </w:r>
      <w:r w:rsidRPr="0086652B">
        <w:rPr>
          <w:rFonts w:ascii="Verdana" w:hAnsi="Verdana"/>
          <w:color w:val="241F20"/>
          <w:sz w:val="18"/>
          <w:szCs w:val="18"/>
          <w:vertAlign w:val="superscript"/>
        </w:rPr>
        <w:t>o</w:t>
      </w:r>
      <w:r w:rsidRPr="0086652B">
        <w:rPr>
          <w:rFonts w:ascii="Verdana" w:hAnsi="Verdana"/>
          <w:color w:val="241F20"/>
          <w:sz w:val="18"/>
          <w:szCs w:val="18"/>
        </w:rPr>
        <w:t xml:space="preserve">C. These samples were incubated for 120 min at room temperature in mouse anti-CDX2 IgG, </w:t>
      </w:r>
      <w:r w:rsidRPr="0086652B">
        <w:rPr>
          <w:rFonts w:ascii="Verdana" w:hAnsi="Verdana"/>
          <w:bCs/>
          <w:sz w:val="18"/>
          <w:szCs w:val="18"/>
        </w:rPr>
        <w:t>a TE marker. After the samples were washed twice in PBS-BSA</w:t>
      </w:r>
      <w:r w:rsidRPr="0086652B">
        <w:rPr>
          <w:rFonts w:ascii="Verdana" w:hAnsi="Verdana"/>
          <w:color w:val="241F20"/>
          <w:sz w:val="18"/>
          <w:szCs w:val="18"/>
        </w:rPr>
        <w:t>-PVA</w:t>
      </w:r>
      <w:r w:rsidRPr="0086652B">
        <w:rPr>
          <w:rFonts w:ascii="Verdana" w:hAnsi="Verdana"/>
          <w:bCs/>
          <w:sz w:val="18"/>
          <w:szCs w:val="18"/>
        </w:rPr>
        <w:t>, they were incubated for 60 min with</w:t>
      </w:r>
      <w:r w:rsidRPr="0086652B">
        <w:rPr>
          <w:rFonts w:ascii="Verdana" w:hAnsi="Verdana"/>
          <w:b/>
          <w:bCs/>
          <w:sz w:val="18"/>
          <w:szCs w:val="18"/>
        </w:rPr>
        <w:t xml:space="preserve"> </w:t>
      </w:r>
      <w:r w:rsidRPr="0086652B">
        <w:rPr>
          <w:rFonts w:ascii="Verdana" w:hAnsi="Verdana"/>
          <w:color w:val="241F20"/>
          <w:sz w:val="18"/>
          <w:szCs w:val="18"/>
        </w:rPr>
        <w:t>Alexa-Fluor-488 labeled goat anti-mouse IgG</w:t>
      </w:r>
      <w:r w:rsidRPr="0086652B">
        <w:rPr>
          <w:rFonts w:ascii="Verdana" w:hAnsi="Verdana"/>
          <w:b/>
          <w:bCs/>
          <w:sz w:val="18"/>
          <w:szCs w:val="18"/>
        </w:rPr>
        <w:t xml:space="preserve">. </w:t>
      </w:r>
      <w:r w:rsidRPr="0086652B">
        <w:rPr>
          <w:rFonts w:ascii="Verdana" w:hAnsi="Verdana"/>
          <w:bCs/>
          <w:sz w:val="18"/>
          <w:szCs w:val="18"/>
        </w:rPr>
        <w:t>After two washes in PBS-BSA</w:t>
      </w:r>
      <w:r w:rsidRPr="0086652B">
        <w:rPr>
          <w:rFonts w:ascii="Verdana" w:hAnsi="Verdana"/>
          <w:color w:val="241F20"/>
          <w:sz w:val="18"/>
          <w:szCs w:val="18"/>
        </w:rPr>
        <w:t>-PVA</w:t>
      </w:r>
      <w:r w:rsidRPr="0086652B">
        <w:rPr>
          <w:rFonts w:ascii="Verdana" w:hAnsi="Verdana"/>
          <w:bCs/>
          <w:sz w:val="18"/>
          <w:szCs w:val="18"/>
        </w:rPr>
        <w:t xml:space="preserve"> for 15 min each, the DNA was stained for 30 min with 2 mg/ml 4’, 6-diamidino-2-phenylindole dihydrochloride (DAPI). After the samples were washed thoroughly, they were mounted on slides using Glycerol and observed with an epifluorescence microscope. The processes of fixation and staining of samples were performed in 96-well culture dishes (STEMCELL Technology), and the samples were transferred to subsequent treatments by mouth pipette.</w:t>
      </w:r>
    </w:p>
    <w:p w:rsidR="0086652B" w:rsidRPr="0086652B" w:rsidRDefault="0086652B" w:rsidP="0086652B">
      <w:pPr>
        <w:pStyle w:val="ListParagraph"/>
        <w:tabs>
          <w:tab w:val="left" w:pos="1350"/>
        </w:tabs>
        <w:spacing w:after="0" w:line="360" w:lineRule="auto"/>
        <w:jc w:val="both"/>
        <w:rPr>
          <w:rFonts w:ascii="Verdana" w:hAnsi="Verdana"/>
          <w:bCs/>
          <w:sz w:val="18"/>
          <w:szCs w:val="18"/>
        </w:rPr>
      </w:pPr>
    </w:p>
    <w:p w:rsidR="00A51774" w:rsidRPr="00A51774" w:rsidRDefault="00A51774" w:rsidP="00A51774">
      <w:pPr>
        <w:pStyle w:val="ListParagraph"/>
        <w:numPr>
          <w:ilvl w:val="2"/>
          <w:numId w:val="1"/>
        </w:numPr>
        <w:tabs>
          <w:tab w:val="left" w:pos="1350"/>
          <w:tab w:val="left" w:pos="1890"/>
        </w:tabs>
        <w:spacing w:after="0" w:line="360" w:lineRule="auto"/>
        <w:ind w:left="1620"/>
        <w:jc w:val="both"/>
        <w:outlineLvl w:val="2"/>
        <w:rPr>
          <w:rFonts w:ascii="Verdana" w:hAnsi="Verdana"/>
          <w:b/>
          <w:color w:val="548DD4" w:themeColor="text2" w:themeTint="99"/>
          <w:sz w:val="18"/>
          <w:szCs w:val="18"/>
        </w:rPr>
      </w:pPr>
      <w:bookmarkStart w:id="23" w:name="_Toc518292991"/>
      <w:bookmarkStart w:id="24" w:name="_Toc518303854"/>
      <w:bookmarkStart w:id="25" w:name="_Toc518304091"/>
      <w:r w:rsidRPr="00A51774">
        <w:rPr>
          <w:rFonts w:ascii="Verdana" w:hAnsi="Verdana"/>
          <w:b/>
          <w:bCs/>
          <w:color w:val="548DD4" w:themeColor="text2" w:themeTint="99"/>
          <w:spacing w:val="-3"/>
          <w:sz w:val="18"/>
          <w:szCs w:val="18"/>
        </w:rPr>
        <w:t xml:space="preserve">Assessment Chromosome of </w:t>
      </w:r>
      <w:bookmarkEnd w:id="23"/>
      <w:bookmarkEnd w:id="24"/>
      <w:bookmarkEnd w:id="25"/>
      <w:r w:rsidRPr="00A51774">
        <w:rPr>
          <w:rFonts w:ascii="Verdana" w:hAnsi="Verdana"/>
          <w:b/>
          <w:bCs/>
          <w:color w:val="548DD4" w:themeColor="text2" w:themeTint="99"/>
          <w:spacing w:val="-3"/>
          <w:sz w:val="18"/>
          <w:szCs w:val="18"/>
        </w:rPr>
        <w:t>One-Cell Tetraploid Embryos</w:t>
      </w:r>
    </w:p>
    <w:p w:rsidR="0086652B" w:rsidRDefault="00A30CF6" w:rsidP="00A30CF6">
      <w:pPr>
        <w:pStyle w:val="ListParagraph"/>
        <w:tabs>
          <w:tab w:val="left" w:pos="1350"/>
        </w:tabs>
        <w:spacing w:line="360" w:lineRule="auto"/>
        <w:jc w:val="both"/>
        <w:rPr>
          <w:rFonts w:ascii="Verdana" w:hAnsi="Verdana"/>
          <w:bCs/>
          <w:color w:val="000000"/>
          <w:sz w:val="18"/>
          <w:szCs w:val="18"/>
        </w:rPr>
      </w:pPr>
      <w:r>
        <w:rPr>
          <w:rFonts w:ascii="Verdana" w:hAnsi="Verdana"/>
          <w:color w:val="241F20"/>
          <w:sz w:val="18"/>
          <w:szCs w:val="18"/>
        </w:rPr>
        <w:t>16 h</w:t>
      </w:r>
      <w:r w:rsidR="00A51774" w:rsidRPr="0086652B">
        <w:rPr>
          <w:rFonts w:ascii="Verdana" w:hAnsi="Verdana"/>
          <w:color w:val="241F20"/>
          <w:sz w:val="18"/>
          <w:szCs w:val="18"/>
        </w:rPr>
        <w:t xml:space="preserve">ours after electrofusion, chromosomes of tetraploid embryos were examined by orcein staining. The addition of the hypotonic solution, distilled water, will result in water rushing into the cells due to the concentration gradient caused by the less-than physiological concentration outside of the cells. The cells will swell and cytoplasmic membranes will stretch. Fetal Bovine Serum (FBS) was then used as isotonic solution to preserve in its swollen shape. After these steps, fixative solution (acetic acid:ethanol 1:3 v/v) was passed twice via introduction from one side of the cover slip and removal from the other by absorbing it with a piece of filter </w:t>
      </w:r>
      <w:r w:rsidR="00A51774" w:rsidRPr="0086652B">
        <w:rPr>
          <w:rFonts w:ascii="Verdana" w:hAnsi="Verdana"/>
          <w:sz w:val="18"/>
          <w:szCs w:val="18"/>
        </w:rPr>
        <w:t xml:space="preserve">paper. </w:t>
      </w:r>
      <w:r w:rsidR="00A51774" w:rsidRPr="0086652B">
        <w:rPr>
          <w:rFonts w:ascii="Verdana" w:hAnsi="Verdana"/>
          <w:bCs/>
          <w:sz w:val="18"/>
          <w:szCs w:val="18"/>
        </w:rPr>
        <w:t>Staining solution (1% aceto-orcein in acetic acid:ethanol</w:t>
      </w:r>
      <w:r w:rsidR="00A51774" w:rsidRPr="0086652B">
        <w:rPr>
          <w:rFonts w:ascii="Verdana" w:hAnsi="Verdana"/>
          <w:sz w:val="18"/>
          <w:szCs w:val="18"/>
        </w:rPr>
        <w:t xml:space="preserve"> </w:t>
      </w:r>
      <w:r w:rsidR="00A51774" w:rsidRPr="0086652B">
        <w:rPr>
          <w:rFonts w:ascii="Verdana" w:hAnsi="Verdana"/>
          <w:bCs/>
          <w:sz w:val="18"/>
          <w:szCs w:val="18"/>
        </w:rPr>
        <w:t>1:3) was then passed once, albeit in a similar manner.</w:t>
      </w:r>
      <w:r w:rsidR="00A51774" w:rsidRPr="0086652B">
        <w:rPr>
          <w:rFonts w:ascii="Verdana" w:hAnsi="Verdana"/>
          <w:sz w:val="18"/>
          <w:szCs w:val="18"/>
        </w:rPr>
        <w:t xml:space="preserve"> </w:t>
      </w:r>
      <w:r w:rsidR="00A51774" w:rsidRPr="0086652B">
        <w:rPr>
          <w:rFonts w:ascii="Verdana" w:hAnsi="Verdana"/>
          <w:bCs/>
          <w:sz w:val="18"/>
          <w:szCs w:val="18"/>
        </w:rPr>
        <w:t>After 5-7 min of orcein staining, destaining solution (acetic</w:t>
      </w:r>
      <w:r w:rsidR="00A51774" w:rsidRPr="0086652B">
        <w:rPr>
          <w:rFonts w:ascii="Verdana" w:hAnsi="Verdana"/>
          <w:sz w:val="18"/>
          <w:szCs w:val="18"/>
        </w:rPr>
        <w:t xml:space="preserve"> </w:t>
      </w:r>
      <w:r w:rsidR="00A51774" w:rsidRPr="0086652B">
        <w:rPr>
          <w:rFonts w:ascii="Verdana" w:hAnsi="Verdana"/>
          <w:bCs/>
          <w:sz w:val="18"/>
          <w:szCs w:val="18"/>
        </w:rPr>
        <w:t>acid:distilled water:glycerol: 1:3:1) was passed thoroughly to</w:t>
      </w:r>
      <w:r w:rsidR="00A51774" w:rsidRPr="0086652B">
        <w:rPr>
          <w:rFonts w:ascii="Verdana" w:hAnsi="Verdana"/>
          <w:sz w:val="18"/>
          <w:szCs w:val="18"/>
        </w:rPr>
        <w:t xml:space="preserve"> </w:t>
      </w:r>
      <w:r w:rsidR="00A51774" w:rsidRPr="0086652B">
        <w:rPr>
          <w:rFonts w:ascii="Verdana" w:hAnsi="Verdana"/>
          <w:bCs/>
          <w:sz w:val="18"/>
          <w:szCs w:val="18"/>
        </w:rPr>
        <w:t>remove excess stain, making sure that these embryos were not</w:t>
      </w:r>
      <w:r w:rsidR="00A51774" w:rsidRPr="0086652B">
        <w:rPr>
          <w:rFonts w:ascii="Verdana" w:hAnsi="Verdana"/>
          <w:sz w:val="18"/>
          <w:szCs w:val="18"/>
        </w:rPr>
        <w:t xml:space="preserve"> </w:t>
      </w:r>
      <w:r w:rsidR="00A51774" w:rsidRPr="0086652B">
        <w:rPr>
          <w:rFonts w:ascii="Verdana" w:hAnsi="Verdana"/>
          <w:bCs/>
          <w:sz w:val="18"/>
          <w:szCs w:val="18"/>
        </w:rPr>
        <w:t>washed away.</w:t>
      </w:r>
      <w:r w:rsidR="00A51774" w:rsidRPr="0086652B">
        <w:rPr>
          <w:rFonts w:ascii="Verdana" w:hAnsi="Verdana"/>
          <w:sz w:val="18"/>
          <w:szCs w:val="18"/>
        </w:rPr>
        <w:t xml:space="preserve"> </w:t>
      </w:r>
      <w:r w:rsidR="00A51774" w:rsidRPr="0086652B">
        <w:rPr>
          <w:rFonts w:ascii="Verdana" w:hAnsi="Verdana"/>
          <w:bCs/>
          <w:sz w:val="18"/>
          <w:szCs w:val="18"/>
        </w:rPr>
        <w:t>The cover slip was sealed and stained embryos were</w:t>
      </w:r>
      <w:r w:rsidR="00A51774" w:rsidRPr="0086652B">
        <w:rPr>
          <w:rFonts w:ascii="Verdana" w:hAnsi="Verdana"/>
          <w:sz w:val="18"/>
          <w:szCs w:val="18"/>
        </w:rPr>
        <w:t xml:space="preserve"> </w:t>
      </w:r>
      <w:r w:rsidR="00A51774" w:rsidRPr="0086652B">
        <w:rPr>
          <w:rFonts w:ascii="Verdana" w:hAnsi="Verdana"/>
          <w:bCs/>
          <w:sz w:val="18"/>
          <w:szCs w:val="18"/>
        </w:rPr>
        <w:t xml:space="preserve">examined under a light microscope to determine the stages </w:t>
      </w:r>
      <w:r w:rsidR="00A51774" w:rsidRPr="0086652B">
        <w:rPr>
          <w:rFonts w:ascii="Verdana" w:hAnsi="Verdana"/>
          <w:bCs/>
          <w:color w:val="000000"/>
          <w:sz w:val="18"/>
          <w:szCs w:val="18"/>
        </w:rPr>
        <w:t>of chromosome</w:t>
      </w:r>
      <w:r w:rsidR="00A51774" w:rsidRPr="0086652B">
        <w:rPr>
          <w:rFonts w:ascii="Verdana" w:hAnsi="Verdana"/>
          <w:color w:val="000000"/>
          <w:sz w:val="18"/>
          <w:szCs w:val="18"/>
        </w:rPr>
        <w:t xml:space="preserve"> </w:t>
      </w:r>
      <w:r w:rsidR="00A51774" w:rsidRPr="0086652B">
        <w:rPr>
          <w:rFonts w:ascii="Verdana" w:hAnsi="Verdana"/>
          <w:bCs/>
          <w:color w:val="000000"/>
          <w:sz w:val="18"/>
          <w:szCs w:val="18"/>
        </w:rPr>
        <w:t>morphology.</w:t>
      </w:r>
      <w:bookmarkStart w:id="26" w:name="_Toc518292992"/>
      <w:bookmarkStart w:id="27" w:name="_Toc518303855"/>
      <w:bookmarkStart w:id="28" w:name="_Toc518304092"/>
    </w:p>
    <w:p w:rsidR="0086652B" w:rsidRDefault="0086652B" w:rsidP="0086652B">
      <w:pPr>
        <w:pStyle w:val="ListParagraph"/>
        <w:tabs>
          <w:tab w:val="left" w:pos="1350"/>
        </w:tabs>
        <w:spacing w:line="360" w:lineRule="auto"/>
        <w:rPr>
          <w:rFonts w:ascii="Verdana" w:hAnsi="Verdana"/>
          <w:i/>
          <w:sz w:val="18"/>
          <w:szCs w:val="18"/>
        </w:rPr>
      </w:pPr>
    </w:p>
    <w:p w:rsidR="0086652B" w:rsidRPr="0086652B" w:rsidRDefault="0086652B" w:rsidP="0086652B">
      <w:pPr>
        <w:pStyle w:val="ListParagraph"/>
        <w:tabs>
          <w:tab w:val="left" w:pos="1350"/>
        </w:tabs>
        <w:spacing w:line="360" w:lineRule="auto"/>
        <w:rPr>
          <w:rFonts w:ascii="Verdana" w:hAnsi="Verdana"/>
          <w:i/>
          <w:sz w:val="18"/>
          <w:szCs w:val="18"/>
        </w:rPr>
      </w:pPr>
    </w:p>
    <w:p w:rsidR="0086652B" w:rsidRPr="0086652B" w:rsidRDefault="0086652B" w:rsidP="0086652B">
      <w:pPr>
        <w:pStyle w:val="ListParagraph"/>
        <w:numPr>
          <w:ilvl w:val="0"/>
          <w:numId w:val="5"/>
        </w:numPr>
        <w:spacing w:after="0" w:line="360" w:lineRule="auto"/>
        <w:jc w:val="both"/>
        <w:outlineLvl w:val="0"/>
        <w:rPr>
          <w:rFonts w:ascii="Verdana" w:hAnsi="Verdana"/>
          <w:b/>
          <w:sz w:val="18"/>
          <w:szCs w:val="18"/>
        </w:rPr>
      </w:pPr>
      <w:bookmarkStart w:id="29" w:name="_Toc518292993"/>
      <w:bookmarkStart w:id="30" w:name="_Toc518303856"/>
      <w:bookmarkStart w:id="31" w:name="_Toc518304093"/>
      <w:bookmarkEnd w:id="26"/>
      <w:bookmarkEnd w:id="27"/>
      <w:bookmarkEnd w:id="28"/>
      <w:r>
        <w:rPr>
          <w:rFonts w:ascii="Verdana" w:hAnsi="Verdana"/>
          <w:b/>
          <w:sz w:val="18"/>
          <w:szCs w:val="18"/>
        </w:rPr>
        <w:t>RESULTS</w:t>
      </w:r>
      <w:r w:rsidRPr="0086652B">
        <w:rPr>
          <w:rFonts w:ascii="Verdana" w:hAnsi="Verdana"/>
          <w:b/>
          <w:sz w:val="18"/>
          <w:szCs w:val="18"/>
        </w:rPr>
        <w:t>:</w:t>
      </w:r>
    </w:p>
    <w:p w:rsidR="00421C10" w:rsidRPr="00920ACC" w:rsidRDefault="00421C10" w:rsidP="0086652B">
      <w:pPr>
        <w:pStyle w:val="ListParagraph"/>
        <w:numPr>
          <w:ilvl w:val="1"/>
          <w:numId w:val="5"/>
        </w:numPr>
        <w:tabs>
          <w:tab w:val="left" w:pos="1080"/>
          <w:tab w:val="left" w:pos="1530"/>
        </w:tabs>
        <w:spacing w:after="0" w:line="360" w:lineRule="auto"/>
        <w:ind w:left="720"/>
        <w:jc w:val="both"/>
        <w:outlineLvl w:val="1"/>
        <w:rPr>
          <w:rFonts w:ascii="Verdana" w:hAnsi="Verdana"/>
          <w:b/>
          <w:color w:val="548DD4" w:themeColor="text2" w:themeTint="99"/>
          <w:sz w:val="18"/>
          <w:szCs w:val="18"/>
        </w:rPr>
      </w:pPr>
      <w:r w:rsidRPr="00920ACC">
        <w:rPr>
          <w:rFonts w:ascii="Verdana" w:hAnsi="Verdana"/>
          <w:b/>
          <w:bCs/>
          <w:color w:val="548DD4" w:themeColor="text2" w:themeTint="99"/>
          <w:sz w:val="18"/>
          <w:szCs w:val="18"/>
        </w:rPr>
        <w:t>Electrofusion of 2-Cells Fertilized Embryos</w:t>
      </w:r>
      <w:bookmarkEnd w:id="29"/>
      <w:bookmarkEnd w:id="30"/>
      <w:bookmarkEnd w:id="31"/>
    </w:p>
    <w:p w:rsidR="00421C10" w:rsidRDefault="00421C10" w:rsidP="00421C10">
      <w:pPr>
        <w:tabs>
          <w:tab w:val="left" w:pos="1440"/>
        </w:tabs>
        <w:spacing w:line="360" w:lineRule="auto"/>
        <w:ind w:left="360" w:right="184"/>
        <w:jc w:val="both"/>
        <w:rPr>
          <w:rFonts w:ascii="Verdana" w:hAnsi="Verdana"/>
          <w:sz w:val="18"/>
          <w:szCs w:val="18"/>
        </w:rPr>
      </w:pPr>
      <w:r w:rsidRPr="00920ACC">
        <w:rPr>
          <w:rFonts w:ascii="Verdana" w:hAnsi="Verdana"/>
          <w:bCs/>
          <w:sz w:val="18"/>
          <w:szCs w:val="18"/>
        </w:rPr>
        <w:t xml:space="preserve">Two-cell fertilized embryos were collected from female ICR mouse and then electrofused with different AC and DC values in the same volume of fusion medium, and the result are shown in Table </w:t>
      </w:r>
      <w:r w:rsidR="00A30CF6">
        <w:rPr>
          <w:rFonts w:ascii="Verdana" w:hAnsi="Verdana"/>
          <w:bCs/>
          <w:sz w:val="18"/>
          <w:szCs w:val="18"/>
        </w:rPr>
        <w:t>3</w:t>
      </w:r>
      <w:r w:rsidRPr="00920ACC">
        <w:rPr>
          <w:rFonts w:ascii="Verdana" w:hAnsi="Verdana"/>
          <w:sz w:val="18"/>
          <w:szCs w:val="18"/>
        </w:rPr>
        <w:t xml:space="preserve">. The percentage of two-cell embryos undergoing fusion was significantly higher in the groups with AC values of 75 and 80 volts and a DC value of 100 volts, compared with the remained groups. Furthermore, the survival rate of fused embryos in second group was higher compared with third group. Based on these results, the optimal electrofusion voltages for mouse embryos at the two-cell stage are AC (75V) and DC (100V). </w:t>
      </w:r>
    </w:p>
    <w:p w:rsidR="0086652B" w:rsidRPr="00920ACC" w:rsidRDefault="0086652B" w:rsidP="00421C10">
      <w:pPr>
        <w:tabs>
          <w:tab w:val="left" w:pos="1440"/>
        </w:tabs>
        <w:spacing w:line="360" w:lineRule="auto"/>
        <w:ind w:left="360" w:right="184"/>
        <w:jc w:val="both"/>
        <w:rPr>
          <w:rFonts w:ascii="Verdana" w:hAnsi="Verdana"/>
          <w:sz w:val="18"/>
          <w:szCs w:val="18"/>
        </w:rPr>
      </w:pPr>
    </w:p>
    <w:tbl>
      <w:tblPr>
        <w:tblStyle w:val="TableGrid"/>
        <w:tblW w:w="8370" w:type="dxa"/>
        <w:jc w:val="center"/>
        <w:tblInd w:w="198" w:type="dxa"/>
        <w:tblLayout w:type="fixed"/>
        <w:tblLook w:val="04A0" w:firstRow="1" w:lastRow="0" w:firstColumn="1" w:lastColumn="0" w:noHBand="0" w:noVBand="1"/>
      </w:tblPr>
      <w:tblGrid>
        <w:gridCol w:w="1440"/>
        <w:gridCol w:w="1980"/>
        <w:gridCol w:w="1710"/>
        <w:gridCol w:w="1800"/>
        <w:gridCol w:w="1440"/>
      </w:tblGrid>
      <w:tr w:rsidR="00421C10" w:rsidRPr="00920ACC" w:rsidTr="00421C10">
        <w:trPr>
          <w:jc w:val="center"/>
        </w:trPr>
        <w:tc>
          <w:tcPr>
            <w:tcW w:w="8370" w:type="dxa"/>
            <w:gridSpan w:val="5"/>
            <w:tcBorders>
              <w:top w:val="thinThickSmallGap" w:sz="24" w:space="0" w:color="auto"/>
              <w:left w:val="thinThickSmallGap" w:sz="24" w:space="0" w:color="auto"/>
              <w:right w:val="thinThickSmallGap" w:sz="24" w:space="0" w:color="auto"/>
            </w:tcBorders>
          </w:tcPr>
          <w:p w:rsidR="00421C10" w:rsidRPr="00920ACC" w:rsidRDefault="00421C10" w:rsidP="00B936CD">
            <w:pPr>
              <w:tabs>
                <w:tab w:val="left" w:pos="1440"/>
              </w:tabs>
              <w:spacing w:line="360" w:lineRule="auto"/>
              <w:rPr>
                <w:rFonts w:ascii="Verdana" w:hAnsi="Verdana" w:cs="Times New Roman"/>
                <w:b/>
                <w:i/>
                <w:sz w:val="16"/>
                <w:szCs w:val="16"/>
              </w:rPr>
            </w:pPr>
            <w:bookmarkStart w:id="32" w:name="_Toc519809471"/>
            <w:r w:rsidRPr="00920ACC">
              <w:rPr>
                <w:rFonts w:ascii="Verdana" w:hAnsi="Verdana"/>
                <w:b/>
                <w:i/>
                <w:sz w:val="16"/>
                <w:szCs w:val="16"/>
              </w:rPr>
              <w:lastRenderedPageBreak/>
              <w:t>Table</w:t>
            </w:r>
            <w:r w:rsidR="00A30CF6">
              <w:rPr>
                <w:rFonts w:ascii="Verdana" w:hAnsi="Verdana"/>
                <w:b/>
                <w:i/>
                <w:sz w:val="16"/>
                <w:szCs w:val="16"/>
              </w:rPr>
              <w:t xml:space="preserve"> 3</w:t>
            </w:r>
            <w:r w:rsidRPr="00920ACC">
              <w:rPr>
                <w:rFonts w:ascii="Verdana" w:hAnsi="Verdana"/>
                <w:b/>
                <w:i/>
                <w:sz w:val="16"/>
                <w:szCs w:val="16"/>
              </w:rPr>
              <w:t>:</w:t>
            </w:r>
            <w:r w:rsidRPr="00920ACC">
              <w:rPr>
                <w:rFonts w:ascii="Verdana" w:hAnsi="Verdana"/>
                <w:i/>
                <w:sz w:val="16"/>
                <w:szCs w:val="16"/>
              </w:rPr>
              <w:t xml:space="preserve"> </w:t>
            </w:r>
            <w:r w:rsidRPr="00920ACC">
              <w:rPr>
                <w:rFonts w:ascii="Verdana" w:hAnsi="Verdana" w:cs="Times New Roman"/>
                <w:i/>
                <w:sz w:val="16"/>
                <w:szCs w:val="16"/>
              </w:rPr>
              <w:t>Optimal Electrofusion Protocol for Two-Cell Embryonic Fusion</w:t>
            </w:r>
            <w:bookmarkEnd w:id="32"/>
          </w:p>
        </w:tc>
      </w:tr>
      <w:tr w:rsidR="00421C10" w:rsidRPr="00920ACC" w:rsidTr="00421C10">
        <w:trPr>
          <w:jc w:val="center"/>
        </w:trPr>
        <w:tc>
          <w:tcPr>
            <w:tcW w:w="1440" w:type="dxa"/>
            <w:tcBorders>
              <w:left w:val="thinThickSmallGap" w:sz="24" w:space="0" w:color="auto"/>
            </w:tcBorders>
            <w:shd w:val="clear" w:color="auto" w:fill="DBE5F1" w:themeFill="accent1" w:themeFillTint="33"/>
            <w:vAlign w:val="center"/>
          </w:tcPr>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Experimental Group</w:t>
            </w:r>
          </w:p>
        </w:tc>
        <w:tc>
          <w:tcPr>
            <w:tcW w:w="1980" w:type="dxa"/>
            <w:shd w:val="clear" w:color="auto" w:fill="DBE5F1" w:themeFill="accent1" w:themeFillTint="33"/>
            <w:vAlign w:val="center"/>
          </w:tcPr>
          <w:p w:rsidR="00421C10" w:rsidRPr="00920ACC" w:rsidRDefault="00421C10" w:rsidP="00B936CD">
            <w:pPr>
              <w:tabs>
                <w:tab w:val="left" w:pos="1440"/>
              </w:tabs>
              <w:spacing w:line="360" w:lineRule="auto"/>
              <w:jc w:val="center"/>
              <w:rPr>
                <w:rFonts w:ascii="Verdana" w:hAnsi="Verdana" w:cs="Times New Roman"/>
                <w:b/>
                <w:sz w:val="16"/>
                <w:szCs w:val="16"/>
              </w:rPr>
            </w:pPr>
            <w:r w:rsidRPr="00920ACC">
              <w:rPr>
                <w:rFonts w:ascii="Verdana" w:hAnsi="Verdana" w:cs="Times New Roman"/>
                <w:b/>
                <w:sz w:val="16"/>
                <w:szCs w:val="16"/>
              </w:rPr>
              <w:t>No. of 2-cell</w:t>
            </w:r>
            <w:r w:rsidRPr="00920ACC">
              <w:rPr>
                <w:rFonts w:ascii="Verdana" w:hAnsi="Verdana" w:cs="Times New Roman"/>
                <w:b/>
                <w:sz w:val="16"/>
                <w:szCs w:val="16"/>
              </w:rPr>
              <w:br/>
              <w:t>embryos examined</w:t>
            </w:r>
          </w:p>
        </w:tc>
        <w:tc>
          <w:tcPr>
            <w:tcW w:w="1710" w:type="dxa"/>
            <w:shd w:val="clear" w:color="auto" w:fill="DBE5F1" w:themeFill="accent1" w:themeFillTint="33"/>
            <w:vAlign w:val="center"/>
          </w:tcPr>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cs="Times New Roman"/>
                <w:b/>
                <w:sz w:val="16"/>
                <w:szCs w:val="16"/>
              </w:rPr>
              <w:t>No. of 2-cell</w:t>
            </w:r>
            <w:r w:rsidRPr="00920ACC">
              <w:rPr>
                <w:rFonts w:ascii="Verdana" w:hAnsi="Verdana" w:cs="Times New Roman"/>
                <w:b/>
                <w:sz w:val="16"/>
                <w:szCs w:val="16"/>
              </w:rPr>
              <w:br/>
              <w:t>embryos fused</w:t>
            </w:r>
          </w:p>
        </w:tc>
        <w:tc>
          <w:tcPr>
            <w:tcW w:w="1800" w:type="dxa"/>
            <w:shd w:val="clear" w:color="auto" w:fill="DBE5F1" w:themeFill="accent1" w:themeFillTint="33"/>
            <w:vAlign w:val="center"/>
          </w:tcPr>
          <w:p w:rsidR="00421C10" w:rsidRPr="00920ACC" w:rsidRDefault="00421C10" w:rsidP="00B936CD">
            <w:pPr>
              <w:tabs>
                <w:tab w:val="left" w:pos="1440"/>
              </w:tabs>
              <w:spacing w:line="360" w:lineRule="auto"/>
              <w:jc w:val="center"/>
              <w:rPr>
                <w:rFonts w:ascii="Verdana" w:hAnsi="Verdana"/>
                <w:b/>
                <w:sz w:val="18"/>
                <w:szCs w:val="18"/>
              </w:rPr>
            </w:pPr>
            <w:r w:rsidRPr="00920ACC">
              <w:rPr>
                <w:rFonts w:ascii="Verdana" w:hAnsi="Verdana"/>
                <w:b/>
                <w:sz w:val="18"/>
                <w:szCs w:val="18"/>
              </w:rPr>
              <w:t>Non-degenerated</w:t>
            </w:r>
          </w:p>
        </w:tc>
        <w:tc>
          <w:tcPr>
            <w:tcW w:w="1440" w:type="dxa"/>
            <w:tcBorders>
              <w:right w:val="thinThickSmallGap" w:sz="24" w:space="0" w:color="auto"/>
            </w:tcBorders>
            <w:shd w:val="clear" w:color="auto" w:fill="DBE5F1" w:themeFill="accent1" w:themeFillTint="33"/>
            <w:vAlign w:val="center"/>
          </w:tcPr>
          <w:p w:rsidR="00421C10" w:rsidRPr="00920ACC" w:rsidRDefault="00421C10" w:rsidP="00B936CD">
            <w:pPr>
              <w:tabs>
                <w:tab w:val="left" w:pos="1440"/>
              </w:tabs>
              <w:spacing w:line="360" w:lineRule="auto"/>
              <w:jc w:val="center"/>
              <w:rPr>
                <w:rFonts w:ascii="Verdana" w:hAnsi="Verdana"/>
                <w:b/>
                <w:sz w:val="18"/>
                <w:szCs w:val="18"/>
              </w:rPr>
            </w:pPr>
            <w:r w:rsidRPr="00920ACC">
              <w:rPr>
                <w:rFonts w:ascii="Verdana" w:hAnsi="Verdana"/>
                <w:b/>
                <w:sz w:val="18"/>
                <w:szCs w:val="18"/>
              </w:rPr>
              <w:t>Degenerated</w:t>
            </w:r>
          </w:p>
        </w:tc>
      </w:tr>
      <w:tr w:rsidR="00421C10" w:rsidRPr="00920ACC" w:rsidTr="00421C10">
        <w:trPr>
          <w:jc w:val="center"/>
        </w:trPr>
        <w:tc>
          <w:tcPr>
            <w:tcW w:w="1440" w:type="dxa"/>
            <w:tcBorders>
              <w:lef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 xml:space="preserve">AC = 70V, </w:t>
            </w:r>
          </w:p>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DC = 100V</w:t>
            </w:r>
          </w:p>
        </w:tc>
        <w:tc>
          <w:tcPr>
            <w:tcW w:w="1980" w:type="dxa"/>
            <w:vAlign w:val="center"/>
          </w:tcPr>
          <w:p w:rsidR="00421C10" w:rsidRPr="00920ACC" w:rsidRDefault="00421C10" w:rsidP="00B936CD">
            <w:pPr>
              <w:tabs>
                <w:tab w:val="left" w:pos="1440"/>
              </w:tabs>
              <w:spacing w:line="360" w:lineRule="auto"/>
              <w:jc w:val="center"/>
              <w:rPr>
                <w:rFonts w:ascii="Verdana" w:hAnsi="Verdana"/>
                <w:sz w:val="16"/>
                <w:szCs w:val="16"/>
              </w:rPr>
            </w:pPr>
            <w:r w:rsidRPr="00920ACC">
              <w:rPr>
                <w:rFonts w:ascii="Verdana" w:hAnsi="Verdana"/>
                <w:sz w:val="16"/>
                <w:szCs w:val="16"/>
              </w:rPr>
              <w:t>85</w:t>
            </w:r>
          </w:p>
        </w:tc>
        <w:tc>
          <w:tcPr>
            <w:tcW w:w="1710" w:type="dxa"/>
            <w:vAlign w:val="center"/>
          </w:tcPr>
          <w:p w:rsidR="00421C10" w:rsidRPr="00920ACC" w:rsidRDefault="00421C10" w:rsidP="00B936CD">
            <w:pPr>
              <w:tabs>
                <w:tab w:val="left" w:pos="1440"/>
              </w:tabs>
              <w:spacing w:line="360" w:lineRule="auto"/>
              <w:jc w:val="center"/>
              <w:rPr>
                <w:rFonts w:ascii="Verdana" w:hAnsi="Verdana"/>
                <w:sz w:val="16"/>
                <w:szCs w:val="16"/>
              </w:rPr>
            </w:pPr>
            <w:r w:rsidRPr="00920ACC">
              <w:rPr>
                <w:rFonts w:ascii="Verdana" w:hAnsi="Verdana"/>
                <w:sz w:val="16"/>
                <w:szCs w:val="16"/>
              </w:rPr>
              <w:t>71 (83.5%)</w:t>
            </w:r>
          </w:p>
        </w:tc>
        <w:tc>
          <w:tcPr>
            <w:tcW w:w="1800" w:type="dxa"/>
            <w:vAlign w:val="center"/>
          </w:tcPr>
          <w:p w:rsidR="00421C10" w:rsidRPr="00920ACC" w:rsidRDefault="00421C10" w:rsidP="00B936CD">
            <w:pPr>
              <w:tabs>
                <w:tab w:val="left" w:pos="1440"/>
              </w:tabs>
              <w:spacing w:line="360" w:lineRule="auto"/>
              <w:jc w:val="center"/>
              <w:rPr>
                <w:rFonts w:ascii="Verdana" w:hAnsi="Verdana"/>
                <w:sz w:val="18"/>
                <w:szCs w:val="18"/>
              </w:rPr>
            </w:pPr>
            <w:r w:rsidRPr="00920ACC">
              <w:rPr>
                <w:rFonts w:ascii="Verdana" w:hAnsi="Verdana"/>
                <w:sz w:val="18"/>
                <w:szCs w:val="18"/>
              </w:rPr>
              <w:t>65 (76.5%)</w:t>
            </w:r>
          </w:p>
        </w:tc>
        <w:tc>
          <w:tcPr>
            <w:tcW w:w="1440" w:type="dxa"/>
            <w:tcBorders>
              <w:righ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sz w:val="18"/>
                <w:szCs w:val="18"/>
              </w:rPr>
            </w:pPr>
            <w:r w:rsidRPr="00920ACC">
              <w:rPr>
                <w:rFonts w:ascii="Verdana" w:hAnsi="Verdana"/>
                <w:sz w:val="18"/>
                <w:szCs w:val="18"/>
              </w:rPr>
              <w:t>20 (23.5%)</w:t>
            </w:r>
          </w:p>
        </w:tc>
      </w:tr>
      <w:tr w:rsidR="00421C10" w:rsidRPr="00920ACC" w:rsidTr="00421C10">
        <w:trPr>
          <w:jc w:val="center"/>
        </w:trPr>
        <w:tc>
          <w:tcPr>
            <w:tcW w:w="1440" w:type="dxa"/>
            <w:tcBorders>
              <w:lef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 xml:space="preserve">AC = 75V, </w:t>
            </w:r>
          </w:p>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DC = 100V</w:t>
            </w:r>
          </w:p>
        </w:tc>
        <w:tc>
          <w:tcPr>
            <w:tcW w:w="1980" w:type="dxa"/>
            <w:vAlign w:val="center"/>
          </w:tcPr>
          <w:p w:rsidR="00421C10" w:rsidRPr="00920ACC" w:rsidRDefault="00421C10" w:rsidP="00B936CD">
            <w:pPr>
              <w:tabs>
                <w:tab w:val="left" w:pos="1440"/>
              </w:tabs>
              <w:spacing w:line="360" w:lineRule="auto"/>
              <w:jc w:val="center"/>
              <w:rPr>
                <w:rFonts w:ascii="Verdana" w:hAnsi="Verdana"/>
                <w:b/>
                <w:color w:val="17365D" w:themeColor="text2" w:themeShade="BF"/>
                <w:sz w:val="16"/>
                <w:szCs w:val="16"/>
              </w:rPr>
            </w:pPr>
            <w:r w:rsidRPr="00920ACC">
              <w:rPr>
                <w:rFonts w:ascii="Verdana" w:hAnsi="Verdana"/>
                <w:b/>
                <w:color w:val="17365D" w:themeColor="text2" w:themeShade="BF"/>
                <w:sz w:val="16"/>
                <w:szCs w:val="16"/>
              </w:rPr>
              <w:t>85</w:t>
            </w:r>
          </w:p>
        </w:tc>
        <w:tc>
          <w:tcPr>
            <w:tcW w:w="1710" w:type="dxa"/>
            <w:vAlign w:val="center"/>
          </w:tcPr>
          <w:p w:rsidR="00421C10" w:rsidRPr="00920ACC" w:rsidRDefault="00421C10" w:rsidP="00B936CD">
            <w:pPr>
              <w:tabs>
                <w:tab w:val="left" w:pos="1440"/>
              </w:tabs>
              <w:spacing w:line="360" w:lineRule="auto"/>
              <w:jc w:val="center"/>
              <w:rPr>
                <w:rFonts w:ascii="Verdana" w:hAnsi="Verdana"/>
                <w:b/>
                <w:color w:val="17365D" w:themeColor="text2" w:themeShade="BF"/>
                <w:sz w:val="16"/>
                <w:szCs w:val="16"/>
              </w:rPr>
            </w:pPr>
            <w:r w:rsidRPr="00920ACC">
              <w:rPr>
                <w:rFonts w:ascii="Verdana" w:hAnsi="Verdana"/>
                <w:b/>
                <w:color w:val="17365D" w:themeColor="text2" w:themeShade="BF"/>
                <w:sz w:val="16"/>
                <w:szCs w:val="16"/>
              </w:rPr>
              <w:t>83 (98.0%)</w:t>
            </w:r>
          </w:p>
        </w:tc>
        <w:tc>
          <w:tcPr>
            <w:tcW w:w="1800" w:type="dxa"/>
            <w:vAlign w:val="center"/>
          </w:tcPr>
          <w:p w:rsidR="00421C10" w:rsidRPr="00920ACC" w:rsidRDefault="00421C10" w:rsidP="00B936CD">
            <w:pPr>
              <w:tabs>
                <w:tab w:val="left" w:pos="1440"/>
              </w:tabs>
              <w:spacing w:line="360" w:lineRule="auto"/>
              <w:jc w:val="center"/>
              <w:rPr>
                <w:rFonts w:ascii="Verdana" w:hAnsi="Verdana"/>
                <w:b/>
                <w:color w:val="17365D" w:themeColor="text2" w:themeShade="BF"/>
                <w:sz w:val="18"/>
                <w:szCs w:val="18"/>
              </w:rPr>
            </w:pPr>
            <w:r w:rsidRPr="00920ACC">
              <w:rPr>
                <w:rFonts w:ascii="Verdana" w:hAnsi="Verdana"/>
                <w:b/>
                <w:color w:val="17365D" w:themeColor="text2" w:themeShade="BF"/>
                <w:sz w:val="18"/>
                <w:szCs w:val="18"/>
              </w:rPr>
              <w:t>78 (91.2%)</w:t>
            </w:r>
          </w:p>
        </w:tc>
        <w:tc>
          <w:tcPr>
            <w:tcW w:w="1440" w:type="dxa"/>
            <w:tcBorders>
              <w:righ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b/>
                <w:color w:val="17365D" w:themeColor="text2" w:themeShade="BF"/>
                <w:sz w:val="18"/>
                <w:szCs w:val="18"/>
              </w:rPr>
            </w:pPr>
            <w:r w:rsidRPr="00920ACC">
              <w:rPr>
                <w:rFonts w:ascii="Verdana" w:hAnsi="Verdana"/>
                <w:b/>
                <w:color w:val="17365D" w:themeColor="text2" w:themeShade="BF"/>
                <w:sz w:val="18"/>
                <w:szCs w:val="18"/>
              </w:rPr>
              <w:t>7 (0.08%)</w:t>
            </w:r>
          </w:p>
        </w:tc>
      </w:tr>
      <w:tr w:rsidR="00421C10" w:rsidRPr="00920ACC" w:rsidTr="00421C10">
        <w:trPr>
          <w:jc w:val="center"/>
        </w:trPr>
        <w:tc>
          <w:tcPr>
            <w:tcW w:w="1440" w:type="dxa"/>
            <w:tcBorders>
              <w:lef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 xml:space="preserve">AC = 80V, </w:t>
            </w:r>
          </w:p>
          <w:p w:rsidR="00421C10" w:rsidRPr="00920ACC" w:rsidRDefault="00421C10" w:rsidP="00B936CD">
            <w:pPr>
              <w:tabs>
                <w:tab w:val="left" w:pos="1440"/>
              </w:tabs>
              <w:spacing w:line="360" w:lineRule="auto"/>
              <w:jc w:val="center"/>
              <w:rPr>
                <w:rFonts w:ascii="Verdana" w:hAnsi="Verdana"/>
                <w:b/>
                <w:sz w:val="16"/>
                <w:szCs w:val="16"/>
              </w:rPr>
            </w:pPr>
            <w:r w:rsidRPr="00920ACC">
              <w:rPr>
                <w:rFonts w:ascii="Verdana" w:hAnsi="Verdana"/>
                <w:b/>
                <w:sz w:val="16"/>
                <w:szCs w:val="16"/>
              </w:rPr>
              <w:t>DC = 100V</w:t>
            </w:r>
          </w:p>
        </w:tc>
        <w:tc>
          <w:tcPr>
            <w:tcW w:w="1980" w:type="dxa"/>
            <w:vAlign w:val="center"/>
          </w:tcPr>
          <w:p w:rsidR="00421C10" w:rsidRPr="00920ACC" w:rsidRDefault="00421C10" w:rsidP="00B936CD">
            <w:pPr>
              <w:tabs>
                <w:tab w:val="left" w:pos="1440"/>
              </w:tabs>
              <w:spacing w:line="360" w:lineRule="auto"/>
              <w:jc w:val="center"/>
              <w:rPr>
                <w:rFonts w:ascii="Verdana" w:hAnsi="Verdana"/>
                <w:sz w:val="16"/>
                <w:szCs w:val="16"/>
              </w:rPr>
            </w:pPr>
            <w:r w:rsidRPr="00920ACC">
              <w:rPr>
                <w:rFonts w:ascii="Verdana" w:hAnsi="Verdana"/>
                <w:sz w:val="16"/>
                <w:szCs w:val="16"/>
              </w:rPr>
              <w:t>85</w:t>
            </w:r>
          </w:p>
        </w:tc>
        <w:tc>
          <w:tcPr>
            <w:tcW w:w="1710" w:type="dxa"/>
            <w:vAlign w:val="center"/>
          </w:tcPr>
          <w:p w:rsidR="00421C10" w:rsidRPr="00920ACC" w:rsidRDefault="00421C10" w:rsidP="00B936CD">
            <w:pPr>
              <w:tabs>
                <w:tab w:val="left" w:pos="1440"/>
              </w:tabs>
              <w:spacing w:line="360" w:lineRule="auto"/>
              <w:jc w:val="center"/>
              <w:rPr>
                <w:rFonts w:ascii="Verdana" w:hAnsi="Verdana"/>
                <w:sz w:val="16"/>
                <w:szCs w:val="16"/>
              </w:rPr>
            </w:pPr>
            <w:r w:rsidRPr="00920ACC">
              <w:rPr>
                <w:rFonts w:ascii="Verdana" w:hAnsi="Verdana"/>
                <w:sz w:val="16"/>
                <w:szCs w:val="16"/>
              </w:rPr>
              <w:t>80 (94.0%)</w:t>
            </w:r>
          </w:p>
        </w:tc>
        <w:tc>
          <w:tcPr>
            <w:tcW w:w="1800" w:type="dxa"/>
            <w:vAlign w:val="center"/>
          </w:tcPr>
          <w:p w:rsidR="00421C10" w:rsidRPr="00920ACC" w:rsidRDefault="00421C10" w:rsidP="00B936CD">
            <w:pPr>
              <w:tabs>
                <w:tab w:val="left" w:pos="1440"/>
              </w:tabs>
              <w:spacing w:line="360" w:lineRule="auto"/>
              <w:jc w:val="center"/>
              <w:rPr>
                <w:rFonts w:ascii="Verdana" w:hAnsi="Verdana"/>
                <w:sz w:val="18"/>
                <w:szCs w:val="18"/>
              </w:rPr>
            </w:pPr>
            <w:r w:rsidRPr="00920ACC">
              <w:rPr>
                <w:rFonts w:ascii="Verdana" w:hAnsi="Verdana"/>
                <w:sz w:val="18"/>
                <w:szCs w:val="18"/>
              </w:rPr>
              <w:t>75 (88.2%)</w:t>
            </w:r>
          </w:p>
        </w:tc>
        <w:tc>
          <w:tcPr>
            <w:tcW w:w="1440" w:type="dxa"/>
            <w:tcBorders>
              <w:right w:val="thinThickSmallGap" w:sz="24" w:space="0" w:color="auto"/>
            </w:tcBorders>
            <w:vAlign w:val="center"/>
          </w:tcPr>
          <w:p w:rsidR="00421C10" w:rsidRPr="00920ACC" w:rsidRDefault="00421C10" w:rsidP="00B936CD">
            <w:pPr>
              <w:tabs>
                <w:tab w:val="left" w:pos="1440"/>
              </w:tabs>
              <w:spacing w:line="360" w:lineRule="auto"/>
              <w:jc w:val="center"/>
              <w:rPr>
                <w:rFonts w:ascii="Verdana" w:hAnsi="Verdana"/>
                <w:sz w:val="18"/>
                <w:szCs w:val="18"/>
              </w:rPr>
            </w:pPr>
            <w:r w:rsidRPr="00920ACC">
              <w:rPr>
                <w:rFonts w:ascii="Verdana" w:hAnsi="Verdana"/>
                <w:sz w:val="18"/>
                <w:szCs w:val="18"/>
              </w:rPr>
              <w:t>10 (1.18%)</w:t>
            </w:r>
          </w:p>
        </w:tc>
      </w:tr>
      <w:tr w:rsidR="00421C10" w:rsidRPr="00920ACC" w:rsidTr="00421C10">
        <w:trPr>
          <w:jc w:val="center"/>
        </w:trPr>
        <w:tc>
          <w:tcPr>
            <w:tcW w:w="8370" w:type="dxa"/>
            <w:gridSpan w:val="5"/>
            <w:tcBorders>
              <w:left w:val="thinThickSmallGap" w:sz="24" w:space="0" w:color="auto"/>
              <w:bottom w:val="thinThickSmallGap" w:sz="24" w:space="0" w:color="auto"/>
              <w:right w:val="thinThickSmallGap" w:sz="24" w:space="0" w:color="auto"/>
            </w:tcBorders>
            <w:vAlign w:val="center"/>
          </w:tcPr>
          <w:p w:rsidR="00421C10" w:rsidRPr="00920ACC" w:rsidRDefault="00421C10" w:rsidP="00B936CD">
            <w:pPr>
              <w:tabs>
                <w:tab w:val="left" w:pos="1440"/>
              </w:tabs>
              <w:spacing w:line="360" w:lineRule="auto"/>
              <w:jc w:val="both"/>
              <w:rPr>
                <w:rFonts w:ascii="Verdana" w:hAnsi="Verdana" w:cs="Times New Roman"/>
                <w:color w:val="241F20"/>
                <w:sz w:val="16"/>
                <w:szCs w:val="16"/>
              </w:rPr>
            </w:pPr>
            <w:r w:rsidRPr="00920ACC">
              <w:rPr>
                <w:rFonts w:ascii="Verdana" w:hAnsi="Verdana" w:cs="Times New Roman"/>
                <w:color w:val="241F20"/>
                <w:sz w:val="16"/>
                <w:szCs w:val="16"/>
              </w:rPr>
              <w:t>*All experimental groups of embryos were electrofused in t</w:t>
            </w:r>
            <w:r w:rsidR="00920ACC">
              <w:rPr>
                <w:rFonts w:ascii="Verdana" w:hAnsi="Verdana" w:cs="Times New Roman"/>
                <w:color w:val="241F20"/>
                <w:sz w:val="16"/>
                <w:szCs w:val="16"/>
              </w:rPr>
              <w:t>he same volume of fusion medium</w:t>
            </w:r>
            <w:r w:rsidRPr="00920ACC">
              <w:rPr>
                <w:rFonts w:ascii="Verdana" w:hAnsi="Verdana" w:cs="Times New Roman"/>
                <w:color w:val="241F20"/>
                <w:sz w:val="16"/>
                <w:szCs w:val="16"/>
              </w:rPr>
              <w:t xml:space="preserve"> 20 µL.</w:t>
            </w:r>
          </w:p>
          <w:p w:rsidR="00421C10" w:rsidRPr="00920ACC" w:rsidRDefault="00421C10" w:rsidP="00B936CD">
            <w:pPr>
              <w:tabs>
                <w:tab w:val="left" w:pos="1440"/>
              </w:tabs>
              <w:spacing w:line="360" w:lineRule="auto"/>
              <w:jc w:val="both"/>
              <w:rPr>
                <w:rFonts w:ascii="Verdana" w:hAnsi="Verdana" w:cs="Times New Roman"/>
                <w:sz w:val="16"/>
                <w:szCs w:val="16"/>
              </w:rPr>
            </w:pPr>
            <w:r w:rsidRPr="00920ACC">
              <w:rPr>
                <w:rFonts w:ascii="Verdana" w:hAnsi="Verdana" w:cs="Times New Roman"/>
                <w:color w:val="241F20"/>
                <w:sz w:val="16"/>
                <w:szCs w:val="16"/>
              </w:rPr>
              <w:t>**Degenerated embryos died immediately after electrofusion.</w:t>
            </w:r>
          </w:p>
        </w:tc>
      </w:tr>
    </w:tbl>
    <w:p w:rsidR="00421C10" w:rsidRPr="00920ACC" w:rsidRDefault="00421C10" w:rsidP="00920ACC">
      <w:pPr>
        <w:tabs>
          <w:tab w:val="left" w:pos="1440"/>
          <w:tab w:val="left" w:pos="1530"/>
        </w:tabs>
        <w:spacing w:after="0" w:line="360" w:lineRule="auto"/>
        <w:jc w:val="both"/>
        <w:outlineLvl w:val="1"/>
        <w:rPr>
          <w:rFonts w:ascii="Verdana" w:hAnsi="Verdana"/>
          <w:b/>
          <w:color w:val="548DD4" w:themeColor="text2" w:themeTint="99"/>
          <w:sz w:val="18"/>
          <w:szCs w:val="18"/>
        </w:rPr>
      </w:pPr>
    </w:p>
    <w:p w:rsidR="00421C10" w:rsidRPr="00920ACC" w:rsidRDefault="00421C10" w:rsidP="00421C10">
      <w:pPr>
        <w:pStyle w:val="ListParagraph"/>
        <w:tabs>
          <w:tab w:val="left" w:pos="1440"/>
        </w:tabs>
        <w:spacing w:after="0" w:line="360" w:lineRule="auto"/>
        <w:ind w:left="360"/>
        <w:jc w:val="both"/>
        <w:rPr>
          <w:rFonts w:ascii="Verdana" w:hAnsi="Verdana"/>
          <w:sz w:val="18"/>
          <w:szCs w:val="18"/>
        </w:rPr>
      </w:pPr>
      <w:r w:rsidRPr="00920ACC">
        <w:rPr>
          <w:rFonts w:ascii="Verdana" w:hAnsi="Verdana"/>
          <w:bCs/>
          <w:sz w:val="18"/>
          <w:szCs w:val="18"/>
        </w:rPr>
        <w:t xml:space="preserve">At 64 hr after hCG injection, most of the tetraploid embryos (88.24%) were at two-cell stage, whereas 94.34% of diploid embryos had developed into the four-cell stage (Table </w:t>
      </w:r>
      <w:r w:rsidR="00A30CF6">
        <w:rPr>
          <w:rFonts w:ascii="Verdana" w:hAnsi="Verdana"/>
          <w:bCs/>
          <w:sz w:val="18"/>
          <w:szCs w:val="18"/>
        </w:rPr>
        <w:t>4</w:t>
      </w:r>
      <w:r w:rsidRPr="00920ACC">
        <w:rPr>
          <w:rFonts w:ascii="Verdana" w:hAnsi="Verdana"/>
          <w:bCs/>
          <w:sz w:val="18"/>
          <w:szCs w:val="18"/>
        </w:rPr>
        <w:t xml:space="preserve">, 64 hr). At 76 hr after hCG injection, 58.97% of the tetraploid embryos were still at four-cell stage, whereas most of diploid embryos had reached the eight-cell stage (67.92%) (Table </w:t>
      </w:r>
      <w:r w:rsidR="00A30CF6">
        <w:rPr>
          <w:rFonts w:ascii="Verdana" w:hAnsi="Verdana"/>
          <w:bCs/>
          <w:sz w:val="18"/>
          <w:szCs w:val="18"/>
        </w:rPr>
        <w:t>4</w:t>
      </w:r>
      <w:r w:rsidRPr="00920ACC">
        <w:rPr>
          <w:rFonts w:ascii="Verdana" w:hAnsi="Verdana"/>
          <w:bCs/>
          <w:sz w:val="18"/>
          <w:szCs w:val="18"/>
        </w:rPr>
        <w:t xml:space="preserve">, 76 hr). Interestingly, at 88 hr after hCG injection, the percentage of tetraploid embryos developing into the morula stage were similar to diploid embryos (Table </w:t>
      </w:r>
      <w:r w:rsidR="00A30CF6">
        <w:rPr>
          <w:rFonts w:ascii="Verdana" w:hAnsi="Verdana"/>
          <w:bCs/>
          <w:sz w:val="18"/>
          <w:szCs w:val="18"/>
        </w:rPr>
        <w:t>4</w:t>
      </w:r>
      <w:r w:rsidRPr="00920ACC">
        <w:rPr>
          <w:rFonts w:ascii="Verdana" w:hAnsi="Verdana"/>
          <w:bCs/>
          <w:sz w:val="18"/>
          <w:szCs w:val="18"/>
        </w:rPr>
        <w:t xml:space="preserve">, 88 hr). Similar to morula stage, at 112 hr after hCG injection, both tetraploid and diploid embryos had reached the blastocyst stage with no significant differences between two groups (Table </w:t>
      </w:r>
      <w:r w:rsidR="00A30CF6">
        <w:rPr>
          <w:rFonts w:ascii="Verdana" w:hAnsi="Verdana"/>
          <w:bCs/>
          <w:sz w:val="18"/>
          <w:szCs w:val="18"/>
        </w:rPr>
        <w:t>4</w:t>
      </w:r>
      <w:r w:rsidRPr="00920ACC">
        <w:rPr>
          <w:rFonts w:ascii="Verdana" w:hAnsi="Verdana"/>
          <w:bCs/>
          <w:sz w:val="18"/>
          <w:szCs w:val="18"/>
        </w:rPr>
        <w:t xml:space="preserve">, 112 hr). </w:t>
      </w:r>
    </w:p>
    <w:p w:rsidR="00421C10" w:rsidRPr="00920ACC" w:rsidRDefault="00421C10" w:rsidP="00421C10">
      <w:pPr>
        <w:pStyle w:val="ListParagraph"/>
        <w:tabs>
          <w:tab w:val="left" w:pos="0"/>
          <w:tab w:val="left" w:pos="90"/>
          <w:tab w:val="left" w:pos="1440"/>
          <w:tab w:val="left" w:pos="1530"/>
        </w:tabs>
        <w:spacing w:after="0" w:line="360" w:lineRule="auto"/>
        <w:ind w:left="0"/>
        <w:jc w:val="both"/>
        <w:outlineLvl w:val="1"/>
        <w:rPr>
          <w:rFonts w:ascii="Verdana" w:hAnsi="Verdana"/>
          <w:b/>
          <w:color w:val="548DD4" w:themeColor="text2" w:themeTint="99"/>
          <w:sz w:val="18"/>
          <w:szCs w:val="18"/>
        </w:rPr>
      </w:pPr>
    </w:p>
    <w:p w:rsidR="00421C10" w:rsidRPr="00920ACC" w:rsidRDefault="00421C10" w:rsidP="00421C10">
      <w:pPr>
        <w:pStyle w:val="ListParagraph"/>
        <w:tabs>
          <w:tab w:val="left" w:pos="360"/>
        </w:tabs>
        <w:spacing w:after="0" w:line="360" w:lineRule="auto"/>
        <w:ind w:left="360" w:right="4"/>
        <w:jc w:val="center"/>
        <w:rPr>
          <w:rFonts w:ascii="Verdana" w:hAnsi="Verdana"/>
          <w:b/>
          <w:bCs/>
          <w:color w:val="548DD4" w:themeColor="text2" w:themeTint="99"/>
          <w:sz w:val="16"/>
          <w:szCs w:val="16"/>
        </w:rPr>
      </w:pPr>
      <w:r w:rsidRPr="00920ACC">
        <w:rPr>
          <w:noProof/>
          <w:sz w:val="16"/>
          <w:szCs w:val="16"/>
        </w:rPr>
        <w:drawing>
          <wp:inline distT="0" distB="0" distL="0" distR="0" wp14:anchorId="2E31ED00" wp14:editId="4C5DF769">
            <wp:extent cx="4135133" cy="3019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45672" cy="3027120"/>
                    </a:xfrm>
                    <a:prstGeom prst="rect">
                      <a:avLst/>
                    </a:prstGeom>
                  </pic:spPr>
                </pic:pic>
              </a:graphicData>
            </a:graphic>
          </wp:inline>
        </w:drawing>
      </w:r>
    </w:p>
    <w:p w:rsidR="00421C10" w:rsidRPr="00920ACC" w:rsidRDefault="00421C10" w:rsidP="00421C10">
      <w:pPr>
        <w:pStyle w:val="ListParagraph"/>
        <w:tabs>
          <w:tab w:val="left" w:pos="630"/>
          <w:tab w:val="left" w:pos="7830"/>
          <w:tab w:val="left" w:pos="8730"/>
          <w:tab w:val="left" w:pos="9900"/>
        </w:tabs>
        <w:spacing w:after="0" w:line="360" w:lineRule="auto"/>
        <w:ind w:right="454"/>
        <w:jc w:val="both"/>
        <w:rPr>
          <w:rFonts w:ascii="Verdana" w:hAnsi="Verdana"/>
          <w:i/>
          <w:sz w:val="16"/>
          <w:szCs w:val="16"/>
        </w:rPr>
      </w:pPr>
      <w:bookmarkStart w:id="33" w:name="_Toc519809142"/>
      <w:r w:rsidRPr="00920ACC">
        <w:rPr>
          <w:rFonts w:ascii="Verdana" w:hAnsi="Verdana"/>
          <w:b/>
          <w:i/>
          <w:sz w:val="16"/>
          <w:szCs w:val="16"/>
        </w:rPr>
        <w:t>Figure</w:t>
      </w:r>
      <w:r w:rsidR="00A30CF6">
        <w:rPr>
          <w:rFonts w:ascii="Verdana" w:hAnsi="Verdana"/>
          <w:b/>
          <w:i/>
          <w:sz w:val="16"/>
          <w:szCs w:val="16"/>
        </w:rPr>
        <w:t xml:space="preserve"> </w:t>
      </w:r>
      <w:r w:rsidR="000F7DA7">
        <w:rPr>
          <w:rFonts w:ascii="Verdana" w:hAnsi="Verdana"/>
          <w:b/>
          <w:i/>
          <w:sz w:val="16"/>
          <w:szCs w:val="16"/>
        </w:rPr>
        <w:t>3</w:t>
      </w:r>
      <w:r w:rsidRPr="00920ACC">
        <w:rPr>
          <w:rFonts w:ascii="Verdana" w:hAnsi="Verdana"/>
          <w:b/>
          <w:i/>
          <w:sz w:val="16"/>
          <w:szCs w:val="16"/>
        </w:rPr>
        <w:t>:</w:t>
      </w:r>
      <w:r w:rsidRPr="00920ACC">
        <w:rPr>
          <w:rFonts w:ascii="Verdana" w:hAnsi="Verdana"/>
          <w:i/>
          <w:sz w:val="16"/>
          <w:szCs w:val="16"/>
        </w:rPr>
        <w:t xml:space="preserve"> In vitro development of in vivo fertilized mouse embryo after hCG injection (HI) and mating. A. 2-cell embryos (40 hrs after HI). B. 4-cell embryos (64 hrs after HI). C. 8-cell embryos (76 hrs after HI). D. Morula stage (88 hrs after HI). E. Early blastocyst stage (100 hrs after HI). F. Late blastocyst stage (112 hrs after HI). The scale bar is 50 µm</w:t>
      </w:r>
      <w:bookmarkEnd w:id="33"/>
    </w:p>
    <w:p w:rsidR="00421C10" w:rsidRDefault="00421C10" w:rsidP="00421C10">
      <w:pPr>
        <w:pStyle w:val="ListParagraph"/>
        <w:tabs>
          <w:tab w:val="left" w:pos="630"/>
          <w:tab w:val="left" w:pos="7830"/>
          <w:tab w:val="left" w:pos="8730"/>
          <w:tab w:val="left" w:pos="9900"/>
        </w:tabs>
        <w:spacing w:after="0" w:line="360" w:lineRule="auto"/>
        <w:ind w:right="454"/>
        <w:jc w:val="both"/>
        <w:rPr>
          <w:rFonts w:ascii="Verdana" w:hAnsi="Verdana"/>
          <w:i/>
          <w:sz w:val="18"/>
          <w:szCs w:val="18"/>
        </w:rPr>
      </w:pPr>
    </w:p>
    <w:p w:rsidR="0086652B" w:rsidRDefault="0086652B" w:rsidP="00421C10">
      <w:pPr>
        <w:pStyle w:val="ListParagraph"/>
        <w:tabs>
          <w:tab w:val="left" w:pos="630"/>
          <w:tab w:val="left" w:pos="7830"/>
          <w:tab w:val="left" w:pos="8730"/>
          <w:tab w:val="left" w:pos="9900"/>
        </w:tabs>
        <w:spacing w:after="0" w:line="360" w:lineRule="auto"/>
        <w:ind w:right="454"/>
        <w:jc w:val="both"/>
        <w:rPr>
          <w:rFonts w:ascii="Verdana" w:hAnsi="Verdana"/>
          <w:i/>
          <w:sz w:val="18"/>
          <w:szCs w:val="18"/>
        </w:rPr>
      </w:pPr>
    </w:p>
    <w:p w:rsidR="0086652B" w:rsidRDefault="0086652B" w:rsidP="00421C10">
      <w:pPr>
        <w:pStyle w:val="ListParagraph"/>
        <w:tabs>
          <w:tab w:val="left" w:pos="630"/>
          <w:tab w:val="left" w:pos="7830"/>
          <w:tab w:val="left" w:pos="8730"/>
          <w:tab w:val="left" w:pos="9900"/>
        </w:tabs>
        <w:spacing w:after="0" w:line="360" w:lineRule="auto"/>
        <w:ind w:right="454"/>
        <w:jc w:val="both"/>
        <w:rPr>
          <w:rFonts w:ascii="Verdana" w:hAnsi="Verdana"/>
          <w:i/>
          <w:sz w:val="18"/>
          <w:szCs w:val="18"/>
        </w:rPr>
      </w:pPr>
    </w:p>
    <w:p w:rsidR="0086652B" w:rsidRDefault="0086652B" w:rsidP="00421C10">
      <w:pPr>
        <w:pStyle w:val="ListParagraph"/>
        <w:tabs>
          <w:tab w:val="left" w:pos="630"/>
          <w:tab w:val="left" w:pos="7830"/>
          <w:tab w:val="left" w:pos="8730"/>
          <w:tab w:val="left" w:pos="9900"/>
        </w:tabs>
        <w:spacing w:after="0" w:line="360" w:lineRule="auto"/>
        <w:ind w:right="454"/>
        <w:jc w:val="both"/>
        <w:rPr>
          <w:rFonts w:ascii="Verdana" w:hAnsi="Verdana"/>
          <w:i/>
          <w:sz w:val="18"/>
          <w:szCs w:val="18"/>
        </w:rPr>
      </w:pPr>
    </w:p>
    <w:p w:rsidR="0086652B" w:rsidRPr="00920ACC" w:rsidRDefault="0086652B" w:rsidP="00421C10">
      <w:pPr>
        <w:pStyle w:val="ListParagraph"/>
        <w:tabs>
          <w:tab w:val="left" w:pos="630"/>
          <w:tab w:val="left" w:pos="7830"/>
          <w:tab w:val="left" w:pos="8730"/>
          <w:tab w:val="left" w:pos="9900"/>
        </w:tabs>
        <w:spacing w:after="0" w:line="360" w:lineRule="auto"/>
        <w:ind w:right="454"/>
        <w:jc w:val="both"/>
        <w:rPr>
          <w:rFonts w:ascii="Verdana" w:hAnsi="Verdana"/>
          <w:i/>
          <w:sz w:val="18"/>
          <w:szCs w:val="18"/>
        </w:rPr>
      </w:pPr>
    </w:p>
    <w:tbl>
      <w:tblPr>
        <w:tblStyle w:val="TableGrid"/>
        <w:tblW w:w="10080" w:type="dxa"/>
        <w:jc w:val="center"/>
        <w:tblInd w:w="-612" w:type="dxa"/>
        <w:tblLayout w:type="fixed"/>
        <w:tblLook w:val="04A0" w:firstRow="1" w:lastRow="0" w:firstColumn="1" w:lastColumn="0" w:noHBand="0" w:noVBand="1"/>
      </w:tblPr>
      <w:tblGrid>
        <w:gridCol w:w="1170"/>
        <w:gridCol w:w="990"/>
        <w:gridCol w:w="1080"/>
        <w:gridCol w:w="900"/>
        <w:gridCol w:w="990"/>
        <w:gridCol w:w="990"/>
        <w:gridCol w:w="990"/>
        <w:gridCol w:w="990"/>
        <w:gridCol w:w="990"/>
        <w:gridCol w:w="990"/>
      </w:tblGrid>
      <w:tr w:rsidR="00920ACC" w:rsidRPr="00BC188A" w:rsidTr="00920ACC">
        <w:trPr>
          <w:jc w:val="center"/>
        </w:trPr>
        <w:tc>
          <w:tcPr>
            <w:tcW w:w="10080" w:type="dxa"/>
            <w:gridSpan w:val="10"/>
            <w:tcBorders>
              <w:top w:val="thinThickSmallGap" w:sz="24" w:space="0" w:color="auto"/>
              <w:left w:val="thinThickSmallGap" w:sz="24" w:space="0" w:color="auto"/>
              <w:bottom w:val="single" w:sz="4" w:space="0" w:color="auto"/>
              <w:right w:val="thinThickSmallGap" w:sz="24" w:space="0" w:color="auto"/>
            </w:tcBorders>
          </w:tcPr>
          <w:p w:rsidR="00920ACC" w:rsidRPr="00A30CF6" w:rsidRDefault="00920ACC" w:rsidP="00920ACC">
            <w:pPr>
              <w:pStyle w:val="ListParagraph"/>
              <w:tabs>
                <w:tab w:val="left" w:pos="1440"/>
              </w:tabs>
              <w:spacing w:line="360" w:lineRule="auto"/>
              <w:ind w:left="0"/>
              <w:jc w:val="both"/>
              <w:rPr>
                <w:rFonts w:ascii="Verdana" w:hAnsi="Verdana"/>
                <w:b/>
                <w:bCs/>
                <w:i/>
                <w:sz w:val="18"/>
                <w:szCs w:val="18"/>
              </w:rPr>
            </w:pPr>
            <w:bookmarkStart w:id="34" w:name="_Toc519809472"/>
            <w:r w:rsidRPr="00A30CF6">
              <w:rPr>
                <w:rFonts w:ascii="Verdana" w:hAnsi="Verdana"/>
                <w:b/>
                <w:i/>
                <w:sz w:val="18"/>
                <w:szCs w:val="18"/>
              </w:rPr>
              <w:lastRenderedPageBreak/>
              <w:t>Table</w:t>
            </w:r>
            <w:r w:rsidR="00A30CF6" w:rsidRPr="00A30CF6">
              <w:rPr>
                <w:rFonts w:ascii="Verdana" w:hAnsi="Verdana"/>
                <w:b/>
                <w:i/>
                <w:sz w:val="18"/>
                <w:szCs w:val="18"/>
              </w:rPr>
              <w:t xml:space="preserve"> 4</w:t>
            </w:r>
            <w:r w:rsidRPr="00A30CF6">
              <w:rPr>
                <w:rFonts w:ascii="Verdana" w:hAnsi="Verdana"/>
                <w:b/>
                <w:i/>
                <w:sz w:val="18"/>
                <w:szCs w:val="18"/>
              </w:rPr>
              <w:t>:</w:t>
            </w:r>
            <w:r w:rsidRPr="00A30CF6">
              <w:rPr>
                <w:rFonts w:ascii="Verdana" w:hAnsi="Verdana"/>
                <w:b/>
                <w:bCs/>
                <w:i/>
                <w:sz w:val="18"/>
                <w:szCs w:val="18"/>
              </w:rPr>
              <w:t xml:space="preserve"> </w:t>
            </w:r>
            <w:r w:rsidRPr="00A30CF6">
              <w:rPr>
                <w:rFonts w:ascii="Verdana" w:hAnsi="Verdana"/>
                <w:i/>
                <w:color w:val="241F20"/>
                <w:sz w:val="18"/>
                <w:szCs w:val="18"/>
              </w:rPr>
              <w:t>Preimplantation Development of Diploid and Tetraploid Embryos</w:t>
            </w:r>
            <w:bookmarkEnd w:id="34"/>
          </w:p>
        </w:tc>
      </w:tr>
      <w:tr w:rsidR="00920ACC" w:rsidRPr="00BC188A" w:rsidTr="00920ACC">
        <w:trPr>
          <w:jc w:val="center"/>
        </w:trPr>
        <w:tc>
          <w:tcPr>
            <w:tcW w:w="3240" w:type="dxa"/>
            <w:gridSpan w:val="3"/>
            <w:tcBorders>
              <w:left w:val="thinThickSmallGap" w:sz="24" w:space="0" w:color="auto"/>
              <w:right w:val="single" w:sz="4" w:space="0" w:color="auto"/>
            </w:tcBorders>
            <w:shd w:val="clear" w:color="auto" w:fill="DBE5F1" w:themeFill="accent1" w:themeFillTint="33"/>
          </w:tcPr>
          <w:p w:rsidR="00920ACC" w:rsidRPr="006F351E" w:rsidRDefault="00920ACC" w:rsidP="00B936CD">
            <w:pPr>
              <w:pStyle w:val="ListParagraph"/>
              <w:tabs>
                <w:tab w:val="left" w:pos="1440"/>
              </w:tabs>
              <w:spacing w:line="360" w:lineRule="auto"/>
              <w:ind w:left="0"/>
              <w:jc w:val="both"/>
              <w:rPr>
                <w:rFonts w:ascii="Verdana" w:hAnsi="Verdana"/>
                <w:bCs/>
                <w:sz w:val="16"/>
                <w:szCs w:val="16"/>
              </w:rPr>
            </w:pPr>
          </w:p>
        </w:tc>
        <w:tc>
          <w:tcPr>
            <w:tcW w:w="6840" w:type="dxa"/>
            <w:gridSpan w:val="7"/>
            <w:tcBorders>
              <w:right w:val="thinThickSmallGap" w:sz="24" w:space="0" w:color="auto"/>
            </w:tcBorders>
            <w:shd w:val="clear" w:color="auto" w:fill="DBE5F1" w:themeFill="accent1" w:themeFillTint="33"/>
          </w:tcPr>
          <w:p w:rsidR="00920ACC" w:rsidRPr="006F351E"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AC = 75V and DC = 100V</w:t>
            </w:r>
          </w:p>
        </w:tc>
      </w:tr>
      <w:tr w:rsidR="00920ACC" w:rsidRPr="008F4CAF" w:rsidTr="00920ACC">
        <w:trPr>
          <w:jc w:val="center"/>
        </w:trPr>
        <w:tc>
          <w:tcPr>
            <w:tcW w:w="1170" w:type="dxa"/>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 xml:space="preserve">After </w:t>
            </w:r>
            <w:r>
              <w:rPr>
                <w:rFonts w:ascii="Verdana" w:hAnsi="Verdana"/>
                <w:b/>
                <w:bCs/>
                <w:sz w:val="16"/>
                <w:szCs w:val="16"/>
              </w:rPr>
              <w:t>hCG injection</w:t>
            </w:r>
          </w:p>
        </w:tc>
        <w:tc>
          <w:tcPr>
            <w:tcW w:w="990" w:type="dxa"/>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Type of Embryo</w:t>
            </w:r>
          </w:p>
        </w:tc>
        <w:tc>
          <w:tcPr>
            <w:tcW w:w="1080" w:type="dxa"/>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No. of Embryos</w:t>
            </w:r>
          </w:p>
        </w:tc>
        <w:tc>
          <w:tcPr>
            <w:tcW w:w="900" w:type="dxa"/>
            <w:tcBorders>
              <w:bottom w:val="single"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 xml:space="preserve">1-cell </w:t>
            </w:r>
          </w:p>
        </w:tc>
        <w:tc>
          <w:tcPr>
            <w:tcW w:w="990" w:type="dxa"/>
            <w:tcBorders>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 xml:space="preserve">2-cell </w:t>
            </w:r>
          </w:p>
        </w:tc>
        <w:tc>
          <w:tcPr>
            <w:tcW w:w="990" w:type="dxa"/>
            <w:tcBorders>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 xml:space="preserve">4-cell </w:t>
            </w:r>
          </w:p>
        </w:tc>
        <w:tc>
          <w:tcPr>
            <w:tcW w:w="990" w:type="dxa"/>
            <w:tcBorders>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 xml:space="preserve">8-cell </w:t>
            </w:r>
          </w:p>
        </w:tc>
        <w:tc>
          <w:tcPr>
            <w:tcW w:w="990" w:type="dxa"/>
            <w:tcBorders>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Morula</w:t>
            </w:r>
          </w:p>
        </w:tc>
        <w:tc>
          <w:tcPr>
            <w:tcW w:w="990" w:type="dxa"/>
            <w:tcBorders>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Early BL</w:t>
            </w:r>
          </w:p>
        </w:tc>
        <w:tc>
          <w:tcPr>
            <w:tcW w:w="990" w:type="dxa"/>
            <w:tcBorders>
              <w:left w:val="nil"/>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sidRPr="00CF0FB2">
              <w:rPr>
                <w:rFonts w:ascii="Verdana" w:hAnsi="Verdana"/>
                <w:b/>
                <w:bCs/>
                <w:sz w:val="16"/>
                <w:szCs w:val="16"/>
              </w:rPr>
              <w:t>Late BL</w:t>
            </w:r>
          </w:p>
        </w:tc>
      </w:tr>
      <w:tr w:rsidR="00920ACC" w:rsidRPr="00CF0FB2" w:rsidTr="00920ACC">
        <w:trPr>
          <w:jc w:val="center"/>
        </w:trPr>
        <w:tc>
          <w:tcPr>
            <w:tcW w:w="1170" w:type="dxa"/>
            <w:vMerge w:val="restart"/>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64</w:t>
            </w:r>
            <w:r w:rsidRPr="00CF0FB2">
              <w:rPr>
                <w:rFonts w:ascii="Verdana" w:hAnsi="Verdana"/>
                <w:b/>
                <w:bCs/>
                <w:sz w:val="16"/>
                <w:szCs w:val="16"/>
              </w:rPr>
              <w:t xml:space="preserve"> hr</w:t>
            </w:r>
          </w:p>
        </w:tc>
        <w:tc>
          <w:tcPr>
            <w:tcW w:w="99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Diploid</w:t>
            </w:r>
          </w:p>
        </w:tc>
        <w:tc>
          <w:tcPr>
            <w:tcW w:w="108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53</w:t>
            </w:r>
          </w:p>
        </w:tc>
        <w:tc>
          <w:tcPr>
            <w:tcW w:w="900" w:type="dxa"/>
            <w:tcBorders>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3</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(5.66%)</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50 (94.34%)</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p>
        </w:tc>
        <w:tc>
          <w:tcPr>
            <w:tcW w:w="99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Tetra</w:t>
            </w:r>
          </w:p>
        </w:tc>
        <w:tc>
          <w:tcPr>
            <w:tcW w:w="108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top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8</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(9.41%)</w:t>
            </w: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75 (88.24%)</w:t>
            </w: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val="restart"/>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7</w:t>
            </w:r>
            <w:r w:rsidRPr="00CF0FB2">
              <w:rPr>
                <w:rFonts w:ascii="Verdana" w:hAnsi="Verdana"/>
                <w:b/>
                <w:bCs/>
                <w:sz w:val="16"/>
                <w:szCs w:val="16"/>
              </w:rPr>
              <w:t>6 hr</w:t>
            </w:r>
          </w:p>
        </w:tc>
        <w:tc>
          <w:tcPr>
            <w:tcW w:w="99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Diploid</w:t>
            </w:r>
          </w:p>
        </w:tc>
        <w:tc>
          <w:tcPr>
            <w:tcW w:w="108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17 (32.08%)</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36 (67.92%)</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p>
        </w:tc>
        <w:tc>
          <w:tcPr>
            <w:tcW w:w="99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Tetra</w:t>
            </w:r>
          </w:p>
        </w:tc>
        <w:tc>
          <w:tcPr>
            <w:tcW w:w="108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top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32 (41.03%)</w:t>
            </w: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46 (58.97%)</w:t>
            </w: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val="restart"/>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8</w:t>
            </w:r>
            <w:r w:rsidRPr="00CF0FB2">
              <w:rPr>
                <w:rFonts w:ascii="Verdana" w:hAnsi="Verdana"/>
                <w:b/>
                <w:bCs/>
                <w:sz w:val="16"/>
                <w:szCs w:val="16"/>
              </w:rPr>
              <w:t>8 hr</w:t>
            </w:r>
          </w:p>
        </w:tc>
        <w:tc>
          <w:tcPr>
            <w:tcW w:w="99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Diploid</w:t>
            </w:r>
          </w:p>
        </w:tc>
        <w:tc>
          <w:tcPr>
            <w:tcW w:w="108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1</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(1.89%)</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50 (94.34%)</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p>
        </w:tc>
        <w:tc>
          <w:tcPr>
            <w:tcW w:w="99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Tetra</w:t>
            </w:r>
          </w:p>
        </w:tc>
        <w:tc>
          <w:tcPr>
            <w:tcW w:w="108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top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4</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(5.13%)</w:t>
            </w: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 xml:space="preserve">71 </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(91.03%)</w:t>
            </w:r>
          </w:p>
        </w:tc>
        <w:tc>
          <w:tcPr>
            <w:tcW w:w="990" w:type="dxa"/>
            <w:tcBorders>
              <w:top w:val="dotted" w:sz="4" w:space="0" w:color="auto"/>
              <w:left w:val="nil"/>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val="restart"/>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10</w:t>
            </w:r>
            <w:r w:rsidRPr="00CF0FB2">
              <w:rPr>
                <w:rFonts w:ascii="Verdana" w:hAnsi="Verdana"/>
                <w:b/>
                <w:bCs/>
                <w:sz w:val="16"/>
                <w:szCs w:val="16"/>
              </w:rPr>
              <w:t>0 hr</w:t>
            </w:r>
          </w:p>
        </w:tc>
        <w:tc>
          <w:tcPr>
            <w:tcW w:w="99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Diploid</w:t>
            </w:r>
          </w:p>
        </w:tc>
        <w:tc>
          <w:tcPr>
            <w:tcW w:w="108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35 (66.04%)</w:t>
            </w: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 xml:space="preserve">16 </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(30.19%)</w:t>
            </w:r>
          </w:p>
        </w:tc>
        <w:tc>
          <w:tcPr>
            <w:tcW w:w="990" w:type="dxa"/>
            <w:tcBorders>
              <w:left w:val="nil"/>
              <w:bottom w:val="dotted" w:sz="4" w:space="0" w:color="auto"/>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r>
      <w:tr w:rsidR="00920ACC" w:rsidRPr="00CF0FB2" w:rsidTr="00920ACC">
        <w:trPr>
          <w:jc w:val="center"/>
        </w:trPr>
        <w:tc>
          <w:tcPr>
            <w:tcW w:w="1170" w:type="dxa"/>
            <w:vMerge/>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p>
        </w:tc>
        <w:tc>
          <w:tcPr>
            <w:tcW w:w="99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Tetra</w:t>
            </w:r>
          </w:p>
        </w:tc>
        <w:tc>
          <w:tcPr>
            <w:tcW w:w="108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top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50</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(64.1%)</w:t>
            </w:r>
          </w:p>
        </w:tc>
        <w:tc>
          <w:tcPr>
            <w:tcW w:w="990" w:type="dxa"/>
            <w:tcBorders>
              <w:top w:val="dotted" w:sz="4" w:space="0" w:color="auto"/>
              <w:left w:val="nil"/>
              <w:right w:val="thinThickSmallGap" w:sz="24" w:space="0" w:color="auto"/>
            </w:tcBorders>
            <w:vAlign w:val="center"/>
          </w:tcPr>
          <w:p w:rsidR="00920ACC"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 xml:space="preserve">19 </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(24.36%)</w:t>
            </w:r>
          </w:p>
        </w:tc>
      </w:tr>
      <w:tr w:rsidR="00920ACC" w:rsidRPr="00CF0FB2" w:rsidTr="00920ACC">
        <w:trPr>
          <w:jc w:val="center"/>
        </w:trPr>
        <w:tc>
          <w:tcPr>
            <w:tcW w:w="1170" w:type="dxa"/>
            <w:vMerge w:val="restart"/>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r>
              <w:rPr>
                <w:rFonts w:ascii="Verdana" w:hAnsi="Verdana"/>
                <w:b/>
                <w:bCs/>
                <w:sz w:val="16"/>
                <w:szCs w:val="16"/>
              </w:rPr>
              <w:t>11</w:t>
            </w:r>
            <w:r w:rsidRPr="00CF0FB2">
              <w:rPr>
                <w:rFonts w:ascii="Verdana" w:hAnsi="Verdana"/>
                <w:b/>
                <w:bCs/>
                <w:sz w:val="16"/>
                <w:szCs w:val="16"/>
              </w:rPr>
              <w:t>2 hr</w:t>
            </w:r>
          </w:p>
        </w:tc>
        <w:tc>
          <w:tcPr>
            <w:tcW w:w="99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Diploid</w:t>
            </w:r>
          </w:p>
        </w:tc>
        <w:tc>
          <w:tcPr>
            <w:tcW w:w="1080" w:type="dxa"/>
            <w:tcBorders>
              <w:bottom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left w:val="nil"/>
              <w:bottom w:val="dotted" w:sz="4" w:space="0" w:color="auto"/>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 xml:space="preserve">44 </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(83.02%)</w:t>
            </w:r>
          </w:p>
        </w:tc>
      </w:tr>
      <w:tr w:rsidR="00920ACC" w:rsidRPr="00CF0FB2" w:rsidTr="00920ACC">
        <w:trPr>
          <w:jc w:val="center"/>
        </w:trPr>
        <w:tc>
          <w:tcPr>
            <w:tcW w:w="1170" w:type="dxa"/>
            <w:vMerge/>
            <w:tcBorders>
              <w:lef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
                <w:bCs/>
                <w:sz w:val="16"/>
                <w:szCs w:val="16"/>
              </w:rPr>
            </w:pPr>
          </w:p>
        </w:tc>
        <w:tc>
          <w:tcPr>
            <w:tcW w:w="99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r w:rsidRPr="00CF0FB2">
              <w:rPr>
                <w:rFonts w:ascii="Verdana" w:hAnsi="Verdana"/>
                <w:bCs/>
                <w:sz w:val="16"/>
                <w:szCs w:val="16"/>
              </w:rPr>
              <w:t>Tetra</w:t>
            </w:r>
          </w:p>
        </w:tc>
        <w:tc>
          <w:tcPr>
            <w:tcW w:w="1080" w:type="dxa"/>
            <w:tcBorders>
              <w:top w:val="dotted" w:sz="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6"/>
                <w:szCs w:val="16"/>
              </w:rPr>
            </w:pPr>
          </w:p>
        </w:tc>
        <w:tc>
          <w:tcPr>
            <w:tcW w:w="900" w:type="dxa"/>
            <w:tcBorders>
              <w:top w:val="dotted" w:sz="4" w:space="0" w:color="auto"/>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nil"/>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p>
        </w:tc>
        <w:tc>
          <w:tcPr>
            <w:tcW w:w="990" w:type="dxa"/>
            <w:tcBorders>
              <w:top w:val="dotted" w:sz="4" w:space="0" w:color="auto"/>
              <w:left w:val="nil"/>
              <w:right w:val="thinThickSmallGap" w:sz="24" w:space="0" w:color="auto"/>
            </w:tcBorders>
            <w:vAlign w:val="center"/>
          </w:tcPr>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 xml:space="preserve">57 </w:t>
            </w:r>
          </w:p>
          <w:p w:rsidR="00920ACC" w:rsidRPr="00CF0FB2" w:rsidRDefault="00920ACC" w:rsidP="00B936CD">
            <w:pPr>
              <w:pStyle w:val="ListParagraph"/>
              <w:tabs>
                <w:tab w:val="left" w:pos="1440"/>
              </w:tabs>
              <w:spacing w:line="360" w:lineRule="auto"/>
              <w:ind w:left="0"/>
              <w:jc w:val="center"/>
              <w:rPr>
                <w:rFonts w:ascii="Verdana" w:hAnsi="Verdana"/>
                <w:bCs/>
                <w:sz w:val="15"/>
                <w:szCs w:val="15"/>
              </w:rPr>
            </w:pPr>
            <w:r w:rsidRPr="00CF0FB2">
              <w:rPr>
                <w:rFonts w:ascii="Verdana" w:hAnsi="Verdana"/>
                <w:bCs/>
                <w:sz w:val="15"/>
                <w:szCs w:val="15"/>
              </w:rPr>
              <w:t>(73.08%)</w:t>
            </w:r>
          </w:p>
        </w:tc>
      </w:tr>
      <w:tr w:rsidR="00920ACC" w:rsidTr="00920ACC">
        <w:trPr>
          <w:jc w:val="center"/>
        </w:trPr>
        <w:tc>
          <w:tcPr>
            <w:tcW w:w="1170" w:type="dxa"/>
            <w:tcBorders>
              <w:left w:val="thinThickSmallGap" w:sz="24" w:space="0" w:color="auto"/>
              <w:bottom w:val="thinThickSmallGap" w:sz="24" w:space="0" w:color="auto"/>
            </w:tcBorders>
          </w:tcPr>
          <w:p w:rsidR="00920ACC" w:rsidRPr="00920ACC" w:rsidRDefault="00920ACC" w:rsidP="00B936CD">
            <w:pPr>
              <w:pStyle w:val="ListParagraph"/>
              <w:tabs>
                <w:tab w:val="left" w:pos="1440"/>
              </w:tabs>
              <w:spacing w:line="360" w:lineRule="auto"/>
              <w:ind w:left="0"/>
              <w:jc w:val="both"/>
              <w:rPr>
                <w:rFonts w:ascii="Verdana" w:hAnsi="Verdana"/>
                <w:bCs/>
                <w:sz w:val="16"/>
                <w:szCs w:val="16"/>
              </w:rPr>
            </w:pPr>
          </w:p>
        </w:tc>
        <w:tc>
          <w:tcPr>
            <w:tcW w:w="8910" w:type="dxa"/>
            <w:gridSpan w:val="9"/>
            <w:tcBorders>
              <w:bottom w:val="thinThickSmallGap" w:sz="24" w:space="0" w:color="auto"/>
              <w:right w:val="thinThickSmallGap" w:sz="24" w:space="0" w:color="auto"/>
            </w:tcBorders>
          </w:tcPr>
          <w:p w:rsidR="00920ACC" w:rsidRPr="00920ACC" w:rsidRDefault="00920ACC" w:rsidP="00B936CD">
            <w:pPr>
              <w:pStyle w:val="ListParagraph"/>
              <w:tabs>
                <w:tab w:val="left" w:pos="1440"/>
              </w:tabs>
              <w:spacing w:line="360" w:lineRule="auto"/>
              <w:ind w:left="0"/>
              <w:jc w:val="both"/>
              <w:rPr>
                <w:rFonts w:ascii="Verdana" w:hAnsi="Verdana"/>
                <w:bCs/>
                <w:sz w:val="16"/>
                <w:szCs w:val="16"/>
              </w:rPr>
            </w:pPr>
            <w:r w:rsidRPr="00920ACC">
              <w:rPr>
                <w:rFonts w:ascii="Verdana" w:hAnsi="Verdana"/>
                <w:bCs/>
                <w:sz w:val="16"/>
                <w:szCs w:val="16"/>
              </w:rPr>
              <w:t>Tetra, tetraploid; BL, blastocyst</w:t>
            </w:r>
          </w:p>
          <w:p w:rsidR="00920ACC" w:rsidRPr="00920ACC" w:rsidRDefault="00920ACC" w:rsidP="00B936CD">
            <w:pPr>
              <w:pStyle w:val="ListParagraph"/>
              <w:tabs>
                <w:tab w:val="left" w:pos="1440"/>
              </w:tabs>
              <w:spacing w:line="360" w:lineRule="auto"/>
              <w:ind w:left="0"/>
              <w:jc w:val="both"/>
              <w:rPr>
                <w:rFonts w:ascii="Verdana" w:hAnsi="Verdana"/>
                <w:bCs/>
                <w:sz w:val="16"/>
                <w:szCs w:val="16"/>
              </w:rPr>
            </w:pPr>
            <w:r w:rsidRPr="00920ACC">
              <w:rPr>
                <w:rFonts w:ascii="Verdana" w:hAnsi="Verdana"/>
                <w:bCs/>
                <w:sz w:val="16"/>
                <w:szCs w:val="16"/>
              </w:rPr>
              <w:t>*</w:t>
            </w:r>
            <w:r w:rsidRPr="00920ACC">
              <w:rPr>
                <w:rFonts w:ascii="Verdana" w:hAnsi="Verdana"/>
                <w:bCs/>
                <w:color w:val="FFFFFF" w:themeColor="background1"/>
                <w:sz w:val="16"/>
                <w:szCs w:val="16"/>
              </w:rPr>
              <w:t>*</w:t>
            </w:r>
            <w:r w:rsidRPr="00920ACC">
              <w:rPr>
                <w:rFonts w:ascii="Verdana" w:hAnsi="Verdana"/>
                <w:bCs/>
                <w:sz w:val="16"/>
                <w:szCs w:val="16"/>
              </w:rPr>
              <w:t>2-cell embryos were collected after 40 hr of hCG injection</w:t>
            </w:r>
          </w:p>
          <w:p w:rsidR="00920ACC" w:rsidRPr="00920ACC" w:rsidRDefault="00920ACC" w:rsidP="00B936CD">
            <w:pPr>
              <w:pStyle w:val="ListParagraph"/>
              <w:tabs>
                <w:tab w:val="left" w:pos="1440"/>
              </w:tabs>
              <w:spacing w:line="360" w:lineRule="auto"/>
              <w:ind w:left="252" w:hanging="252"/>
              <w:jc w:val="both"/>
              <w:rPr>
                <w:rFonts w:ascii="Verdana" w:hAnsi="Verdana"/>
                <w:bCs/>
                <w:sz w:val="16"/>
                <w:szCs w:val="16"/>
              </w:rPr>
            </w:pPr>
            <w:r w:rsidRPr="00920ACC">
              <w:rPr>
                <w:rFonts w:ascii="Verdana" w:hAnsi="Verdana"/>
                <w:bCs/>
                <w:sz w:val="16"/>
                <w:szCs w:val="16"/>
              </w:rPr>
              <w:t xml:space="preserve">**2-cell embryos were collected after 40 hr of hCG injection and electrofused with 75 volts, AC, 100 volts, DC in </w:t>
            </w:r>
            <w:r w:rsidRPr="00920ACC">
              <w:rPr>
                <w:rFonts w:ascii="Verdana" w:hAnsi="Verdana"/>
                <w:color w:val="241F20"/>
                <w:sz w:val="16"/>
                <w:szCs w:val="16"/>
              </w:rPr>
              <w:t>in the volume of fusion medium, 20 µL</w:t>
            </w:r>
          </w:p>
        </w:tc>
      </w:tr>
    </w:tbl>
    <w:p w:rsidR="00421C10" w:rsidRPr="00920ACC" w:rsidRDefault="00421C10" w:rsidP="00421C10">
      <w:pPr>
        <w:pStyle w:val="ListParagraph"/>
        <w:tabs>
          <w:tab w:val="left" w:pos="1440"/>
        </w:tabs>
        <w:spacing w:after="0" w:line="360" w:lineRule="auto"/>
        <w:ind w:left="0"/>
        <w:jc w:val="both"/>
        <w:rPr>
          <w:rFonts w:ascii="Verdana" w:hAnsi="Verdana"/>
          <w:sz w:val="18"/>
          <w:szCs w:val="18"/>
        </w:rPr>
      </w:pPr>
    </w:p>
    <w:p w:rsidR="00421C10" w:rsidRPr="00920ACC" w:rsidRDefault="00421C10" w:rsidP="00421C10">
      <w:pPr>
        <w:pStyle w:val="ListParagraph"/>
        <w:tabs>
          <w:tab w:val="left" w:pos="1440"/>
        </w:tabs>
        <w:spacing w:after="0" w:line="360" w:lineRule="auto"/>
        <w:ind w:left="0"/>
        <w:jc w:val="both"/>
        <w:rPr>
          <w:rFonts w:ascii="Verdana" w:hAnsi="Verdana"/>
          <w:b/>
          <w:color w:val="548DD4" w:themeColor="text2" w:themeTint="99"/>
          <w:sz w:val="18"/>
          <w:szCs w:val="18"/>
        </w:rPr>
      </w:pPr>
      <w:r w:rsidRPr="00920ACC">
        <w:rPr>
          <w:rFonts w:ascii="Verdana" w:hAnsi="Verdana"/>
          <w:sz w:val="18"/>
          <w:szCs w:val="18"/>
        </w:rPr>
        <w:t xml:space="preserve">These results showed that the timing of tetraploid embryo development and the first change in embryo morphology were dependent on the timing of fertilization, not on the number of completed cell cycles (Table </w:t>
      </w:r>
      <w:r w:rsidR="00A30CF6">
        <w:rPr>
          <w:rFonts w:ascii="Verdana" w:hAnsi="Verdana"/>
          <w:sz w:val="18"/>
          <w:szCs w:val="18"/>
        </w:rPr>
        <w:t>5</w:t>
      </w:r>
      <w:r w:rsidRPr="00920ACC">
        <w:rPr>
          <w:rFonts w:ascii="Verdana" w:hAnsi="Verdana"/>
          <w:sz w:val="18"/>
          <w:szCs w:val="18"/>
        </w:rPr>
        <w:t>).</w:t>
      </w:r>
    </w:p>
    <w:p w:rsidR="00421C10" w:rsidRPr="00920ACC" w:rsidRDefault="00421C10" w:rsidP="00421C10">
      <w:pPr>
        <w:pStyle w:val="ListParagraph"/>
        <w:tabs>
          <w:tab w:val="left" w:pos="1440"/>
        </w:tabs>
        <w:spacing w:after="0" w:line="360" w:lineRule="auto"/>
        <w:ind w:left="0"/>
        <w:jc w:val="center"/>
        <w:rPr>
          <w:rFonts w:ascii="Verdana" w:hAnsi="Verdana"/>
          <w:b/>
          <w:color w:val="548DD4" w:themeColor="text2" w:themeTint="99"/>
          <w:sz w:val="18"/>
          <w:szCs w:val="18"/>
        </w:rPr>
      </w:pPr>
      <w:r w:rsidRPr="00920ACC">
        <w:rPr>
          <w:noProof/>
          <w:sz w:val="18"/>
          <w:szCs w:val="18"/>
        </w:rPr>
        <w:drawing>
          <wp:inline distT="0" distB="0" distL="0" distR="0" wp14:anchorId="4BE94BE3" wp14:editId="50112E03">
            <wp:extent cx="4716907" cy="298132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719958" cy="2983253"/>
                    </a:xfrm>
                    <a:prstGeom prst="rect">
                      <a:avLst/>
                    </a:prstGeom>
                  </pic:spPr>
                </pic:pic>
              </a:graphicData>
            </a:graphic>
          </wp:inline>
        </w:drawing>
      </w:r>
    </w:p>
    <w:p w:rsidR="00920ACC" w:rsidRPr="0086652B" w:rsidRDefault="00421C10" w:rsidP="00A30CF6">
      <w:pPr>
        <w:pStyle w:val="Caption"/>
        <w:tabs>
          <w:tab w:val="left" w:pos="8280"/>
          <w:tab w:val="left" w:pos="8370"/>
          <w:tab w:val="left" w:pos="8730"/>
          <w:tab w:val="left" w:pos="8820"/>
        </w:tabs>
        <w:spacing w:line="360" w:lineRule="auto"/>
        <w:ind w:left="630" w:right="450"/>
        <w:jc w:val="center"/>
        <w:rPr>
          <w:rFonts w:ascii="Verdana" w:hAnsi="Verdana"/>
          <w:b w:val="0"/>
          <w:i/>
          <w:color w:val="auto"/>
        </w:rPr>
      </w:pPr>
      <w:bookmarkStart w:id="35" w:name="_Toc519809473"/>
      <w:r w:rsidRPr="00920ACC">
        <w:rPr>
          <w:rFonts w:ascii="Verdana" w:hAnsi="Verdana"/>
          <w:i/>
          <w:color w:val="auto"/>
        </w:rPr>
        <w:t>Table</w:t>
      </w:r>
      <w:r w:rsidR="00A30CF6">
        <w:rPr>
          <w:rFonts w:ascii="Verdana" w:hAnsi="Verdana"/>
          <w:i/>
          <w:color w:val="auto"/>
        </w:rPr>
        <w:t xml:space="preserve"> 5</w:t>
      </w:r>
      <w:r w:rsidRPr="00920ACC">
        <w:rPr>
          <w:rFonts w:ascii="Verdana" w:hAnsi="Verdana"/>
          <w:i/>
          <w:color w:val="auto"/>
        </w:rPr>
        <w:t>:</w:t>
      </w:r>
      <w:r w:rsidRPr="00920ACC">
        <w:rPr>
          <w:rFonts w:ascii="Verdana" w:hAnsi="Verdana"/>
          <w:color w:val="auto"/>
        </w:rPr>
        <w:t xml:space="preserve"> </w:t>
      </w:r>
      <w:r w:rsidRPr="00920ACC">
        <w:rPr>
          <w:rFonts w:ascii="Verdana" w:hAnsi="Verdana"/>
          <w:b w:val="0"/>
          <w:i/>
          <w:color w:val="auto"/>
        </w:rPr>
        <w:t>Comparison of each cell stages between tetraploid embryos and diploid embryo</w:t>
      </w:r>
      <w:bookmarkEnd w:id="35"/>
    </w:p>
    <w:p w:rsidR="00421C10" w:rsidRPr="00920ACC" w:rsidRDefault="00421C10" w:rsidP="0086652B">
      <w:pPr>
        <w:pStyle w:val="ListParagraph"/>
        <w:numPr>
          <w:ilvl w:val="1"/>
          <w:numId w:val="5"/>
        </w:numPr>
        <w:tabs>
          <w:tab w:val="left" w:pos="1440"/>
          <w:tab w:val="left" w:pos="1530"/>
        </w:tabs>
        <w:spacing w:after="0" w:line="360" w:lineRule="auto"/>
        <w:ind w:left="1080" w:hanging="540"/>
        <w:jc w:val="both"/>
        <w:outlineLvl w:val="1"/>
        <w:rPr>
          <w:rFonts w:ascii="Verdana" w:hAnsi="Verdana"/>
          <w:b/>
          <w:color w:val="548DD4" w:themeColor="text2" w:themeTint="99"/>
          <w:sz w:val="18"/>
          <w:szCs w:val="18"/>
        </w:rPr>
      </w:pPr>
      <w:bookmarkStart w:id="36" w:name="_Toc518292994"/>
      <w:bookmarkStart w:id="37" w:name="_Toc518303857"/>
      <w:bookmarkStart w:id="38" w:name="_Toc518304094"/>
      <w:r w:rsidRPr="00920ACC">
        <w:rPr>
          <w:rFonts w:ascii="Verdana" w:hAnsi="Verdana"/>
          <w:b/>
          <w:bCs/>
          <w:color w:val="548DD4" w:themeColor="text2" w:themeTint="99"/>
          <w:sz w:val="18"/>
          <w:szCs w:val="18"/>
        </w:rPr>
        <w:lastRenderedPageBreak/>
        <w:t xml:space="preserve">Assessment of DAPI and CDX2 Expression </w:t>
      </w:r>
      <w:bookmarkEnd w:id="36"/>
      <w:bookmarkEnd w:id="37"/>
      <w:bookmarkEnd w:id="38"/>
    </w:p>
    <w:p w:rsidR="00421C10" w:rsidRPr="00920ACC" w:rsidRDefault="00421C10" w:rsidP="00421C10">
      <w:pPr>
        <w:pStyle w:val="ListParagraph"/>
        <w:tabs>
          <w:tab w:val="left" w:pos="1440"/>
        </w:tabs>
        <w:spacing w:after="0" w:line="360" w:lineRule="auto"/>
        <w:ind w:left="540"/>
        <w:jc w:val="both"/>
        <w:rPr>
          <w:rFonts w:ascii="Verdana" w:hAnsi="Verdana"/>
          <w:sz w:val="18"/>
          <w:szCs w:val="18"/>
        </w:rPr>
      </w:pPr>
      <w:r w:rsidRPr="00920ACC">
        <w:rPr>
          <w:rFonts w:ascii="Verdana" w:hAnsi="Verdana"/>
          <w:sz w:val="18"/>
          <w:szCs w:val="18"/>
        </w:rPr>
        <w:t xml:space="preserve">In this experiment, ten expanded diploid blastocysts and ten expanded tetraploid blastocysts at 112 hr after electrofusion with the optimal parameters of electric field 75 volts, AC, and 100 volts, DC were fixed and stained immunofluorescence. The results of DAPI staining showed that the compaction of tetraploid embryos and diploid embryos occurred concurrently at 4-cell stage and 8-cell stage, respectively. </w:t>
      </w:r>
    </w:p>
    <w:p w:rsidR="00421C10" w:rsidRPr="00920ACC" w:rsidRDefault="00421C10" w:rsidP="00421C10">
      <w:pPr>
        <w:pStyle w:val="ListParagraph"/>
        <w:tabs>
          <w:tab w:val="left" w:pos="0"/>
          <w:tab w:val="left" w:pos="810"/>
          <w:tab w:val="left" w:pos="8550"/>
          <w:tab w:val="left" w:pos="8820"/>
          <w:tab w:val="left" w:pos="9270"/>
          <w:tab w:val="left" w:pos="9450"/>
        </w:tabs>
        <w:spacing w:after="0" w:line="360" w:lineRule="auto"/>
        <w:ind w:left="0" w:right="-18"/>
        <w:jc w:val="center"/>
        <w:rPr>
          <w:rFonts w:ascii="Verdana" w:hAnsi="Verdana"/>
          <w:i/>
          <w:sz w:val="18"/>
          <w:szCs w:val="18"/>
        </w:rPr>
      </w:pPr>
      <w:r w:rsidRPr="00920ACC">
        <w:rPr>
          <w:noProof/>
          <w:sz w:val="18"/>
          <w:szCs w:val="18"/>
        </w:rPr>
        <w:drawing>
          <wp:inline distT="0" distB="0" distL="0" distR="0" wp14:anchorId="4CCF8A3D" wp14:editId="50F73760">
            <wp:extent cx="4591050" cy="247946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97388" cy="2482884"/>
                    </a:xfrm>
                    <a:prstGeom prst="rect">
                      <a:avLst/>
                    </a:prstGeom>
                  </pic:spPr>
                </pic:pic>
              </a:graphicData>
            </a:graphic>
          </wp:inline>
        </w:drawing>
      </w:r>
    </w:p>
    <w:p w:rsidR="00421C10" w:rsidRPr="0086652B" w:rsidRDefault="00421C10" w:rsidP="0086652B">
      <w:pPr>
        <w:pStyle w:val="Caption"/>
        <w:spacing w:line="360" w:lineRule="auto"/>
        <w:ind w:left="990" w:right="540"/>
        <w:jc w:val="center"/>
        <w:rPr>
          <w:rFonts w:ascii="Verdana" w:hAnsi="Verdana"/>
          <w:b w:val="0"/>
          <w:i/>
          <w:color w:val="auto"/>
          <w:sz w:val="16"/>
          <w:szCs w:val="16"/>
        </w:rPr>
      </w:pPr>
      <w:bookmarkStart w:id="39" w:name="_Toc519809144"/>
      <w:r w:rsidRPr="00920ACC">
        <w:rPr>
          <w:rFonts w:ascii="Verdana" w:hAnsi="Verdana"/>
          <w:i/>
          <w:color w:val="auto"/>
          <w:sz w:val="16"/>
          <w:szCs w:val="16"/>
        </w:rPr>
        <w:t>Figure</w:t>
      </w:r>
      <w:r w:rsidR="00A30CF6">
        <w:rPr>
          <w:rFonts w:ascii="Verdana" w:hAnsi="Verdana"/>
          <w:i/>
          <w:color w:val="auto"/>
          <w:sz w:val="16"/>
          <w:szCs w:val="16"/>
        </w:rPr>
        <w:t xml:space="preserve"> </w:t>
      </w:r>
      <w:r w:rsidR="000F7DA7">
        <w:rPr>
          <w:rFonts w:ascii="Verdana" w:hAnsi="Verdana"/>
          <w:i/>
          <w:color w:val="auto"/>
          <w:sz w:val="16"/>
          <w:szCs w:val="16"/>
        </w:rPr>
        <w:t>4</w:t>
      </w:r>
      <w:r w:rsidRPr="00920ACC">
        <w:rPr>
          <w:rFonts w:ascii="Verdana" w:hAnsi="Verdana"/>
          <w:i/>
          <w:color w:val="auto"/>
          <w:sz w:val="16"/>
          <w:szCs w:val="16"/>
        </w:rPr>
        <w:t>:</w:t>
      </w:r>
      <w:r w:rsidRPr="00920ACC">
        <w:rPr>
          <w:rFonts w:ascii="Verdana" w:hAnsi="Verdana"/>
          <w:b w:val="0"/>
          <w:i/>
          <w:color w:val="auto"/>
          <w:sz w:val="16"/>
          <w:szCs w:val="16"/>
        </w:rPr>
        <w:t xml:space="preserve"> CDX2 expression of expanded tetraploid and diploid blastocyst at 112 hr after hCG injection with optimal AC = 75V and DC = 100V. DNA is blue, CDX2 is green. Scale bar = 50 µm</w:t>
      </w:r>
      <w:bookmarkEnd w:id="39"/>
    </w:p>
    <w:p w:rsidR="00421C10" w:rsidRDefault="00421C10" w:rsidP="0086652B">
      <w:pPr>
        <w:tabs>
          <w:tab w:val="left" w:pos="540"/>
        </w:tabs>
        <w:spacing w:after="0" w:line="360" w:lineRule="auto"/>
        <w:ind w:left="360"/>
        <w:jc w:val="both"/>
        <w:rPr>
          <w:rFonts w:ascii="Verdana" w:hAnsi="Verdana"/>
          <w:sz w:val="18"/>
          <w:szCs w:val="18"/>
        </w:rPr>
      </w:pPr>
      <w:r w:rsidRPr="00920ACC">
        <w:rPr>
          <w:rFonts w:ascii="Verdana" w:hAnsi="Verdana"/>
          <w:sz w:val="18"/>
          <w:szCs w:val="18"/>
        </w:rPr>
        <w:t>The total number of cells in tetraploid and diploid blastocysts w</w:t>
      </w:r>
      <w:r w:rsidR="00A30CF6">
        <w:rPr>
          <w:rFonts w:ascii="Verdana" w:hAnsi="Verdana"/>
          <w:sz w:val="18"/>
          <w:szCs w:val="18"/>
        </w:rPr>
        <w:t>ere shown in Table 6</w:t>
      </w:r>
      <w:r w:rsidRPr="00920ACC">
        <w:rPr>
          <w:rFonts w:ascii="Verdana" w:hAnsi="Verdana"/>
          <w:sz w:val="18"/>
          <w:szCs w:val="18"/>
        </w:rPr>
        <w:t>. The numbers of cells in the tetraploid expanded blastocysts (30.1 ± 5.7) were significantly lower than in the diploid expanded blastocysts (60.3 ± 6.2) due to the compaction of 4-cell tetraploid embryos and 8-cell diploid embryos at the same time. Figure 10 showed the difference in cell numbers of diploid expanded blastocysts was caused by a higher number of TE cells (48.0 ± 5.9) and ICM cells (12.3 ± 1.0) when compared with tetraploid expanded blastocysts (25.8 ± 4.7) and (4.4 ± 1.3). The results of TE cell numbers and ICM cell numbers indicated that the tetraploid embryo contributes only to placenta.</w:t>
      </w:r>
    </w:p>
    <w:p w:rsidR="0086652B" w:rsidRPr="0086652B" w:rsidRDefault="0086652B" w:rsidP="0086652B">
      <w:pPr>
        <w:tabs>
          <w:tab w:val="left" w:pos="540"/>
        </w:tabs>
        <w:spacing w:after="0" w:line="360" w:lineRule="auto"/>
        <w:ind w:left="360"/>
        <w:jc w:val="both"/>
        <w:rPr>
          <w:rFonts w:ascii="Verdana" w:hAnsi="Verdana"/>
          <w:sz w:val="6"/>
          <w:szCs w:val="6"/>
        </w:rPr>
      </w:pPr>
    </w:p>
    <w:tbl>
      <w:tblPr>
        <w:tblStyle w:val="TableGrid"/>
        <w:tblW w:w="0" w:type="auto"/>
        <w:jc w:val="center"/>
        <w:tblInd w:w="198" w:type="dxa"/>
        <w:tblLook w:val="04A0" w:firstRow="1" w:lastRow="0" w:firstColumn="1" w:lastColumn="0" w:noHBand="0" w:noVBand="1"/>
      </w:tblPr>
      <w:tblGrid>
        <w:gridCol w:w="2256"/>
        <w:gridCol w:w="1636"/>
        <w:gridCol w:w="1589"/>
        <w:gridCol w:w="1528"/>
        <w:gridCol w:w="1541"/>
      </w:tblGrid>
      <w:tr w:rsidR="00421C10" w:rsidRPr="00920ACC" w:rsidTr="0086652B">
        <w:trPr>
          <w:jc w:val="center"/>
        </w:trPr>
        <w:tc>
          <w:tcPr>
            <w:tcW w:w="8550" w:type="dxa"/>
            <w:gridSpan w:val="5"/>
            <w:tcBorders>
              <w:top w:val="thinThickSmallGap" w:sz="24" w:space="0" w:color="auto"/>
              <w:left w:val="thinThickSmallGap" w:sz="24" w:space="0" w:color="auto"/>
              <w:right w:val="thinThickSmallGap" w:sz="24" w:space="0" w:color="auto"/>
            </w:tcBorders>
          </w:tcPr>
          <w:p w:rsidR="00421C10" w:rsidRPr="00920ACC" w:rsidRDefault="00421C10" w:rsidP="00B936CD">
            <w:pPr>
              <w:pStyle w:val="ListParagraph"/>
              <w:spacing w:line="360" w:lineRule="auto"/>
              <w:ind w:left="0"/>
              <w:jc w:val="both"/>
              <w:rPr>
                <w:rFonts w:ascii="Verdana" w:hAnsi="Verdana"/>
                <w:b/>
                <w:i/>
                <w:sz w:val="18"/>
                <w:szCs w:val="18"/>
              </w:rPr>
            </w:pPr>
            <w:bookmarkStart w:id="40" w:name="_Toc519809474"/>
            <w:r w:rsidRPr="00920ACC">
              <w:rPr>
                <w:rFonts w:ascii="Verdana" w:hAnsi="Verdana"/>
                <w:b/>
                <w:i/>
                <w:sz w:val="18"/>
                <w:szCs w:val="18"/>
              </w:rPr>
              <w:t>Table</w:t>
            </w:r>
            <w:r w:rsidR="00A30CF6">
              <w:rPr>
                <w:rFonts w:ascii="Verdana" w:hAnsi="Verdana"/>
                <w:b/>
                <w:i/>
                <w:sz w:val="18"/>
                <w:szCs w:val="18"/>
              </w:rPr>
              <w:t xml:space="preserve"> 6</w:t>
            </w:r>
            <w:r w:rsidRPr="00920ACC">
              <w:rPr>
                <w:rFonts w:ascii="Verdana" w:hAnsi="Verdana"/>
                <w:b/>
                <w:i/>
                <w:sz w:val="18"/>
                <w:szCs w:val="18"/>
              </w:rPr>
              <w:t>:</w:t>
            </w:r>
            <w:r w:rsidRPr="00920ACC">
              <w:rPr>
                <w:rFonts w:ascii="Verdana" w:hAnsi="Verdana"/>
                <w:i/>
                <w:sz w:val="18"/>
                <w:szCs w:val="18"/>
              </w:rPr>
              <w:t xml:space="preserve"> Number of cells in tetraploid- and diploid-derived expanded blastocysts</w:t>
            </w:r>
            <w:bookmarkEnd w:id="40"/>
          </w:p>
        </w:tc>
      </w:tr>
      <w:tr w:rsidR="00421C10" w:rsidRPr="00920ACC" w:rsidTr="0086652B">
        <w:trPr>
          <w:trHeight w:val="435"/>
          <w:jc w:val="center"/>
        </w:trPr>
        <w:tc>
          <w:tcPr>
            <w:tcW w:w="2256" w:type="dxa"/>
            <w:tcBorders>
              <w:left w:val="thinThickSmallGap" w:sz="24" w:space="0" w:color="auto"/>
            </w:tcBorders>
          </w:tcPr>
          <w:p w:rsidR="00421C10" w:rsidRPr="00920ACC" w:rsidRDefault="00421C10" w:rsidP="00B936CD">
            <w:pPr>
              <w:pStyle w:val="ListParagraph"/>
              <w:spacing w:line="360" w:lineRule="auto"/>
              <w:ind w:left="0"/>
              <w:rPr>
                <w:rFonts w:ascii="Verdana" w:hAnsi="Verdana"/>
                <w:b/>
                <w:sz w:val="18"/>
                <w:szCs w:val="18"/>
              </w:rPr>
            </w:pPr>
            <w:r w:rsidRPr="00920ACC">
              <w:rPr>
                <w:rFonts w:ascii="Verdana" w:hAnsi="Verdana"/>
                <w:b/>
                <w:sz w:val="18"/>
                <w:szCs w:val="18"/>
              </w:rPr>
              <w:t>Type of Embryos</w:t>
            </w:r>
          </w:p>
        </w:tc>
        <w:tc>
          <w:tcPr>
            <w:tcW w:w="1636" w:type="dxa"/>
          </w:tcPr>
          <w:p w:rsidR="00421C10" w:rsidRPr="00920ACC" w:rsidRDefault="00421C10" w:rsidP="00B936CD">
            <w:pPr>
              <w:pStyle w:val="ListParagraph"/>
              <w:spacing w:line="360" w:lineRule="auto"/>
              <w:ind w:left="0"/>
              <w:jc w:val="center"/>
              <w:rPr>
                <w:rFonts w:ascii="Verdana" w:hAnsi="Verdana"/>
                <w:b/>
                <w:sz w:val="18"/>
                <w:szCs w:val="18"/>
              </w:rPr>
            </w:pPr>
            <w:r w:rsidRPr="00920ACC">
              <w:rPr>
                <w:rFonts w:ascii="Verdana" w:hAnsi="Verdana"/>
                <w:b/>
                <w:sz w:val="18"/>
                <w:szCs w:val="18"/>
              </w:rPr>
              <w:t>No. of Blastocysts*</w:t>
            </w:r>
          </w:p>
        </w:tc>
        <w:tc>
          <w:tcPr>
            <w:tcW w:w="1589" w:type="dxa"/>
          </w:tcPr>
          <w:p w:rsidR="00421C10" w:rsidRPr="00920ACC" w:rsidRDefault="00421C10" w:rsidP="00B936CD">
            <w:pPr>
              <w:pStyle w:val="ListParagraph"/>
              <w:spacing w:line="360" w:lineRule="auto"/>
              <w:ind w:left="0"/>
              <w:jc w:val="center"/>
              <w:rPr>
                <w:rFonts w:ascii="Verdana" w:hAnsi="Verdana"/>
                <w:b/>
                <w:sz w:val="18"/>
                <w:szCs w:val="18"/>
              </w:rPr>
            </w:pPr>
            <w:r w:rsidRPr="00920ACC">
              <w:rPr>
                <w:rFonts w:ascii="Verdana" w:hAnsi="Verdana"/>
                <w:b/>
                <w:sz w:val="18"/>
                <w:szCs w:val="18"/>
              </w:rPr>
              <w:t>Mean No. of Cells in Total</w:t>
            </w:r>
          </w:p>
        </w:tc>
        <w:tc>
          <w:tcPr>
            <w:tcW w:w="1528" w:type="dxa"/>
          </w:tcPr>
          <w:p w:rsidR="00421C10" w:rsidRPr="00920ACC" w:rsidRDefault="00421C10" w:rsidP="00B936CD">
            <w:pPr>
              <w:pStyle w:val="ListParagraph"/>
              <w:spacing w:line="360" w:lineRule="auto"/>
              <w:ind w:left="0"/>
              <w:jc w:val="center"/>
              <w:rPr>
                <w:rFonts w:ascii="Verdana" w:hAnsi="Verdana"/>
                <w:b/>
                <w:sz w:val="18"/>
                <w:szCs w:val="18"/>
              </w:rPr>
            </w:pPr>
            <w:r w:rsidRPr="00920ACC">
              <w:rPr>
                <w:rFonts w:ascii="Verdana" w:hAnsi="Verdana"/>
                <w:b/>
                <w:sz w:val="18"/>
                <w:szCs w:val="18"/>
              </w:rPr>
              <w:t>Mean No. of Cells in TE*</w:t>
            </w:r>
          </w:p>
        </w:tc>
        <w:tc>
          <w:tcPr>
            <w:tcW w:w="1541" w:type="dxa"/>
            <w:tcBorders>
              <w:right w:val="thinThickSmallGap" w:sz="24" w:space="0" w:color="auto"/>
            </w:tcBorders>
          </w:tcPr>
          <w:p w:rsidR="00421C10" w:rsidRPr="00920ACC" w:rsidRDefault="00421C10" w:rsidP="00B936CD">
            <w:pPr>
              <w:pStyle w:val="ListParagraph"/>
              <w:spacing w:line="360" w:lineRule="auto"/>
              <w:ind w:left="0"/>
              <w:jc w:val="center"/>
              <w:rPr>
                <w:rFonts w:ascii="Verdana" w:hAnsi="Verdana"/>
                <w:b/>
                <w:sz w:val="18"/>
                <w:szCs w:val="18"/>
              </w:rPr>
            </w:pPr>
            <w:r w:rsidRPr="00920ACC">
              <w:rPr>
                <w:rFonts w:ascii="Verdana" w:hAnsi="Verdana"/>
                <w:b/>
                <w:sz w:val="18"/>
                <w:szCs w:val="18"/>
              </w:rPr>
              <w:t>Mean No. of Cells in ICM*</w:t>
            </w:r>
          </w:p>
        </w:tc>
      </w:tr>
      <w:tr w:rsidR="00421C10" w:rsidRPr="00920ACC" w:rsidTr="0086652B">
        <w:trPr>
          <w:jc w:val="center"/>
        </w:trPr>
        <w:tc>
          <w:tcPr>
            <w:tcW w:w="2256" w:type="dxa"/>
            <w:tcBorders>
              <w:left w:val="thinThickSmallGap" w:sz="24" w:space="0" w:color="auto"/>
            </w:tcBorders>
          </w:tcPr>
          <w:p w:rsidR="00421C10" w:rsidRPr="00920ACC" w:rsidRDefault="00421C10" w:rsidP="00B936CD">
            <w:pPr>
              <w:pStyle w:val="ListParagraph"/>
              <w:spacing w:line="360" w:lineRule="auto"/>
              <w:ind w:left="0"/>
              <w:rPr>
                <w:rFonts w:ascii="Verdana" w:hAnsi="Verdana"/>
                <w:sz w:val="18"/>
                <w:szCs w:val="18"/>
              </w:rPr>
            </w:pPr>
            <w:r w:rsidRPr="00920ACC">
              <w:rPr>
                <w:rFonts w:ascii="Verdana" w:hAnsi="Verdana"/>
                <w:sz w:val="18"/>
                <w:szCs w:val="18"/>
              </w:rPr>
              <w:t>Diploid</w:t>
            </w:r>
          </w:p>
        </w:tc>
        <w:tc>
          <w:tcPr>
            <w:tcW w:w="1636" w:type="dxa"/>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10</w:t>
            </w:r>
          </w:p>
        </w:tc>
        <w:tc>
          <w:tcPr>
            <w:tcW w:w="1589" w:type="dxa"/>
          </w:tcPr>
          <w:p w:rsidR="00421C10" w:rsidRPr="00920ACC" w:rsidRDefault="00421C10" w:rsidP="00B936CD">
            <w:pPr>
              <w:pStyle w:val="ListParagraph"/>
              <w:spacing w:line="360" w:lineRule="auto"/>
              <w:ind w:left="0"/>
              <w:jc w:val="center"/>
              <w:rPr>
                <w:rFonts w:ascii="Verdana" w:hAnsi="Verdana"/>
                <w:sz w:val="18"/>
                <w:szCs w:val="18"/>
                <w:vertAlign w:val="superscript"/>
              </w:rPr>
            </w:pPr>
            <w:r w:rsidRPr="00920ACC">
              <w:rPr>
                <w:rFonts w:ascii="Verdana" w:hAnsi="Verdana"/>
                <w:sz w:val="18"/>
                <w:szCs w:val="18"/>
              </w:rPr>
              <w:t>60.3 ± 6.2</w:t>
            </w:r>
            <w:r w:rsidRPr="00920ACC">
              <w:rPr>
                <w:rFonts w:ascii="Verdana" w:hAnsi="Verdana"/>
                <w:sz w:val="18"/>
                <w:szCs w:val="18"/>
                <w:vertAlign w:val="superscript"/>
              </w:rPr>
              <w:t>a</w:t>
            </w:r>
          </w:p>
        </w:tc>
        <w:tc>
          <w:tcPr>
            <w:tcW w:w="1528" w:type="dxa"/>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48.0 ± 5.9</w:t>
            </w:r>
            <w:r w:rsidRPr="00920ACC">
              <w:rPr>
                <w:rFonts w:ascii="Verdana" w:hAnsi="Verdana"/>
                <w:sz w:val="18"/>
                <w:szCs w:val="18"/>
                <w:vertAlign w:val="superscript"/>
              </w:rPr>
              <w:t>a</w:t>
            </w:r>
          </w:p>
        </w:tc>
        <w:tc>
          <w:tcPr>
            <w:tcW w:w="1541" w:type="dxa"/>
            <w:tcBorders>
              <w:right w:val="thinThickSmallGap" w:sz="24" w:space="0" w:color="auto"/>
            </w:tcBorders>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12.3 ± 1.0</w:t>
            </w:r>
            <w:r w:rsidRPr="00920ACC">
              <w:rPr>
                <w:rFonts w:ascii="Verdana" w:hAnsi="Verdana"/>
                <w:sz w:val="18"/>
                <w:szCs w:val="18"/>
                <w:vertAlign w:val="superscript"/>
              </w:rPr>
              <w:t>a</w:t>
            </w:r>
          </w:p>
        </w:tc>
      </w:tr>
      <w:tr w:rsidR="00421C10" w:rsidRPr="00920ACC" w:rsidTr="0086652B">
        <w:trPr>
          <w:jc w:val="center"/>
        </w:trPr>
        <w:tc>
          <w:tcPr>
            <w:tcW w:w="2256" w:type="dxa"/>
            <w:tcBorders>
              <w:left w:val="thinThickSmallGap" w:sz="24" w:space="0" w:color="auto"/>
            </w:tcBorders>
          </w:tcPr>
          <w:p w:rsidR="00421C10" w:rsidRPr="00920ACC" w:rsidRDefault="00421C10" w:rsidP="00B936CD">
            <w:pPr>
              <w:pStyle w:val="ListParagraph"/>
              <w:spacing w:line="360" w:lineRule="auto"/>
              <w:ind w:left="0"/>
              <w:rPr>
                <w:rFonts w:ascii="Verdana" w:hAnsi="Verdana"/>
                <w:sz w:val="18"/>
                <w:szCs w:val="18"/>
              </w:rPr>
            </w:pPr>
            <w:r w:rsidRPr="00920ACC">
              <w:rPr>
                <w:rFonts w:ascii="Verdana" w:hAnsi="Verdana"/>
                <w:sz w:val="18"/>
                <w:szCs w:val="18"/>
              </w:rPr>
              <w:t>Tetraploid</w:t>
            </w:r>
          </w:p>
        </w:tc>
        <w:tc>
          <w:tcPr>
            <w:tcW w:w="1636" w:type="dxa"/>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10</w:t>
            </w:r>
          </w:p>
        </w:tc>
        <w:tc>
          <w:tcPr>
            <w:tcW w:w="1589" w:type="dxa"/>
          </w:tcPr>
          <w:p w:rsidR="00421C10" w:rsidRPr="00920ACC" w:rsidRDefault="00421C10" w:rsidP="00B936CD">
            <w:pPr>
              <w:pStyle w:val="ListParagraph"/>
              <w:spacing w:line="360" w:lineRule="auto"/>
              <w:ind w:left="0"/>
              <w:jc w:val="center"/>
              <w:rPr>
                <w:rFonts w:ascii="Verdana" w:hAnsi="Verdana"/>
                <w:sz w:val="18"/>
                <w:szCs w:val="18"/>
                <w:vertAlign w:val="superscript"/>
              </w:rPr>
            </w:pPr>
            <w:r w:rsidRPr="00920ACC">
              <w:rPr>
                <w:rFonts w:ascii="Verdana" w:hAnsi="Verdana"/>
                <w:sz w:val="18"/>
                <w:szCs w:val="18"/>
              </w:rPr>
              <w:t>30.1 ± 5.7</w:t>
            </w:r>
            <w:r w:rsidRPr="00920ACC">
              <w:rPr>
                <w:rFonts w:ascii="Verdana" w:hAnsi="Verdana"/>
                <w:sz w:val="18"/>
                <w:szCs w:val="18"/>
                <w:vertAlign w:val="superscript"/>
              </w:rPr>
              <w:t>b</w:t>
            </w:r>
          </w:p>
        </w:tc>
        <w:tc>
          <w:tcPr>
            <w:tcW w:w="1528" w:type="dxa"/>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25.8 ± 4.7</w:t>
            </w:r>
            <w:r w:rsidRPr="00920ACC">
              <w:rPr>
                <w:rFonts w:ascii="Verdana" w:hAnsi="Verdana"/>
                <w:sz w:val="18"/>
                <w:szCs w:val="18"/>
                <w:vertAlign w:val="superscript"/>
              </w:rPr>
              <w:t>b</w:t>
            </w:r>
          </w:p>
        </w:tc>
        <w:tc>
          <w:tcPr>
            <w:tcW w:w="1541" w:type="dxa"/>
            <w:tcBorders>
              <w:right w:val="thinThickSmallGap" w:sz="24" w:space="0" w:color="auto"/>
            </w:tcBorders>
          </w:tcPr>
          <w:p w:rsidR="00421C10" w:rsidRPr="00920ACC" w:rsidRDefault="00421C10" w:rsidP="00B936CD">
            <w:pPr>
              <w:pStyle w:val="ListParagraph"/>
              <w:spacing w:line="360" w:lineRule="auto"/>
              <w:ind w:left="0"/>
              <w:jc w:val="center"/>
              <w:rPr>
                <w:rFonts w:ascii="Verdana" w:hAnsi="Verdana"/>
                <w:sz w:val="18"/>
                <w:szCs w:val="18"/>
              </w:rPr>
            </w:pPr>
            <w:r w:rsidRPr="00920ACC">
              <w:rPr>
                <w:rFonts w:ascii="Verdana" w:hAnsi="Verdana"/>
                <w:sz w:val="18"/>
                <w:szCs w:val="18"/>
              </w:rPr>
              <w:t>4.4 ± 1.3</w:t>
            </w:r>
            <w:r w:rsidRPr="00920ACC">
              <w:rPr>
                <w:rFonts w:ascii="Verdana" w:hAnsi="Verdana"/>
                <w:sz w:val="18"/>
                <w:szCs w:val="18"/>
                <w:vertAlign w:val="superscript"/>
              </w:rPr>
              <w:t>b</w:t>
            </w:r>
          </w:p>
        </w:tc>
      </w:tr>
      <w:tr w:rsidR="00421C10" w:rsidRPr="00920ACC" w:rsidTr="0086652B">
        <w:trPr>
          <w:jc w:val="center"/>
        </w:trPr>
        <w:tc>
          <w:tcPr>
            <w:tcW w:w="8550" w:type="dxa"/>
            <w:gridSpan w:val="5"/>
            <w:tcBorders>
              <w:left w:val="thinThickSmallGap" w:sz="24" w:space="0" w:color="auto"/>
              <w:bottom w:val="thinThickSmallGap" w:sz="24" w:space="0" w:color="auto"/>
              <w:right w:val="thinThickSmallGap" w:sz="24" w:space="0" w:color="auto"/>
            </w:tcBorders>
          </w:tcPr>
          <w:p w:rsidR="00421C10" w:rsidRPr="00920ACC" w:rsidRDefault="00421C10" w:rsidP="00B936CD">
            <w:pPr>
              <w:spacing w:line="360" w:lineRule="auto"/>
              <w:jc w:val="both"/>
              <w:rPr>
                <w:rFonts w:ascii="Verdana" w:hAnsi="Verdana"/>
                <w:sz w:val="18"/>
                <w:szCs w:val="18"/>
              </w:rPr>
            </w:pPr>
            <w:r w:rsidRPr="00920ACC">
              <w:rPr>
                <w:rFonts w:ascii="Verdana" w:hAnsi="Verdana"/>
                <w:sz w:val="18"/>
                <w:szCs w:val="18"/>
              </w:rPr>
              <w:t>*TE (Trophectoderm) and ICM (Inner Cell Mass)</w:t>
            </w:r>
          </w:p>
          <w:p w:rsidR="00421C10" w:rsidRPr="00920ACC" w:rsidRDefault="00421C10" w:rsidP="00B936CD">
            <w:pPr>
              <w:spacing w:line="360" w:lineRule="auto"/>
              <w:ind w:left="90" w:hanging="90"/>
              <w:jc w:val="both"/>
              <w:rPr>
                <w:rFonts w:ascii="Verdana" w:hAnsi="Verdana"/>
                <w:sz w:val="18"/>
                <w:szCs w:val="18"/>
              </w:rPr>
            </w:pPr>
            <w:r w:rsidRPr="00920ACC">
              <w:rPr>
                <w:rFonts w:ascii="Verdana" w:hAnsi="Verdana"/>
                <w:sz w:val="18"/>
                <w:szCs w:val="18"/>
              </w:rPr>
              <w:t>*Blastocyst (diploid and tetraploid) were fixed 112 hr from human chorionic gonadotropin injection (at 72 hr from the time of electrofusion).</w:t>
            </w:r>
          </w:p>
          <w:p w:rsidR="00421C10" w:rsidRPr="00920ACC" w:rsidRDefault="00421C10" w:rsidP="00B936CD">
            <w:pPr>
              <w:spacing w:line="360" w:lineRule="auto"/>
              <w:ind w:left="90" w:hanging="90"/>
              <w:jc w:val="both"/>
              <w:rPr>
                <w:rFonts w:ascii="Verdana" w:hAnsi="Verdana"/>
                <w:sz w:val="18"/>
                <w:szCs w:val="18"/>
              </w:rPr>
            </w:pPr>
            <w:r w:rsidRPr="00920ACC">
              <w:rPr>
                <w:rFonts w:ascii="Verdana" w:hAnsi="Verdana"/>
                <w:sz w:val="18"/>
                <w:szCs w:val="18"/>
                <w:vertAlign w:val="superscript"/>
              </w:rPr>
              <w:t>a,b</w:t>
            </w:r>
            <w:r w:rsidRPr="00920ACC">
              <w:rPr>
                <w:rFonts w:ascii="Verdana" w:hAnsi="Verdana"/>
                <w:sz w:val="18"/>
                <w:szCs w:val="18"/>
              </w:rPr>
              <w:t>Values with different superscripts within a column are significantly different (P&lt;0.05)</w:t>
            </w:r>
          </w:p>
        </w:tc>
      </w:tr>
    </w:tbl>
    <w:p w:rsidR="0086652B" w:rsidRDefault="0086652B" w:rsidP="00421C10">
      <w:pPr>
        <w:spacing w:after="0" w:line="360" w:lineRule="auto"/>
        <w:rPr>
          <w:rFonts w:ascii="Verdana" w:hAnsi="Verdana"/>
          <w:b/>
          <w:sz w:val="18"/>
          <w:szCs w:val="18"/>
        </w:rPr>
      </w:pPr>
    </w:p>
    <w:p w:rsidR="0086652B" w:rsidRPr="00920ACC" w:rsidRDefault="0086652B" w:rsidP="00421C10">
      <w:pPr>
        <w:spacing w:after="0" w:line="360" w:lineRule="auto"/>
        <w:rPr>
          <w:rFonts w:ascii="Verdana" w:hAnsi="Verdana"/>
          <w:b/>
          <w:sz w:val="18"/>
          <w:szCs w:val="18"/>
        </w:rPr>
      </w:pPr>
    </w:p>
    <w:p w:rsidR="00421C10" w:rsidRPr="00920ACC" w:rsidRDefault="00421C10" w:rsidP="0086652B">
      <w:pPr>
        <w:pStyle w:val="ListParagraph"/>
        <w:numPr>
          <w:ilvl w:val="1"/>
          <w:numId w:val="5"/>
        </w:numPr>
        <w:tabs>
          <w:tab w:val="left" w:pos="1350"/>
          <w:tab w:val="left" w:pos="2160"/>
        </w:tabs>
        <w:spacing w:after="0" w:line="360" w:lineRule="auto"/>
        <w:ind w:left="900" w:hanging="540"/>
        <w:jc w:val="both"/>
        <w:outlineLvl w:val="1"/>
        <w:rPr>
          <w:rFonts w:ascii="Verdana" w:hAnsi="Verdana"/>
          <w:b/>
          <w:color w:val="548DD4" w:themeColor="text2" w:themeTint="99"/>
          <w:sz w:val="18"/>
          <w:szCs w:val="18"/>
        </w:rPr>
      </w:pPr>
      <w:r w:rsidRPr="00920ACC">
        <w:rPr>
          <w:rFonts w:ascii="Verdana" w:hAnsi="Verdana"/>
          <w:b/>
          <w:bCs/>
          <w:color w:val="548DD4" w:themeColor="text2" w:themeTint="99"/>
          <w:spacing w:val="-3"/>
          <w:sz w:val="18"/>
          <w:szCs w:val="18"/>
        </w:rPr>
        <w:t>Assessment Chromosome of One-Cell Tetraploid Embryos</w:t>
      </w:r>
    </w:p>
    <w:p w:rsidR="00421C10" w:rsidRDefault="00421C10" w:rsidP="0086652B">
      <w:pPr>
        <w:pStyle w:val="ListParagraph"/>
        <w:spacing w:after="0" w:line="360" w:lineRule="auto"/>
        <w:ind w:left="360"/>
        <w:jc w:val="both"/>
        <w:rPr>
          <w:rFonts w:ascii="Verdana" w:hAnsi="Verdana"/>
          <w:sz w:val="18"/>
          <w:szCs w:val="18"/>
        </w:rPr>
      </w:pPr>
      <w:r w:rsidRPr="00920ACC">
        <w:rPr>
          <w:rFonts w:ascii="Verdana" w:hAnsi="Verdana"/>
          <w:sz w:val="18"/>
          <w:szCs w:val="18"/>
        </w:rPr>
        <w:t xml:space="preserve">16 hr after electrofusion 1-cell tetraploid embryos (56 hr after hCG injection) with optimal parameter AC, 75V and DC, 100V were used to identify the chromosome morphology of tetraploid embryos. In this case of aceto-orcein staining, hypotonic solution (water) and Fetal Bovine Serum </w:t>
      </w:r>
      <w:r w:rsidRPr="00920ACC">
        <w:rPr>
          <w:rFonts w:ascii="Verdana" w:hAnsi="Verdana"/>
          <w:sz w:val="18"/>
          <w:szCs w:val="18"/>
        </w:rPr>
        <w:lastRenderedPageBreak/>
        <w:t>(FBS) were used to observe chromosome spreading easily. The figure indicated that two blastomere chromosome sets were combined together and reached metaphase at 16 hr after electrofusion (56 hr after hCG injection).</w:t>
      </w:r>
    </w:p>
    <w:p w:rsidR="0086652B" w:rsidRPr="0086652B" w:rsidRDefault="0086652B" w:rsidP="0086652B">
      <w:pPr>
        <w:pStyle w:val="ListParagraph"/>
        <w:spacing w:after="0" w:line="360" w:lineRule="auto"/>
        <w:ind w:left="360"/>
        <w:jc w:val="both"/>
        <w:rPr>
          <w:rFonts w:ascii="Verdana" w:hAnsi="Verdana"/>
          <w:sz w:val="18"/>
          <w:szCs w:val="18"/>
        </w:rPr>
      </w:pPr>
    </w:p>
    <w:p w:rsidR="00421C10" w:rsidRPr="00920ACC" w:rsidRDefault="00421C10" w:rsidP="00421C10">
      <w:pPr>
        <w:pStyle w:val="ListParagraph"/>
        <w:spacing w:after="0" w:line="360" w:lineRule="auto"/>
        <w:ind w:left="90"/>
        <w:jc w:val="center"/>
        <w:rPr>
          <w:rFonts w:ascii="Verdana" w:hAnsi="Verdana"/>
          <w:sz w:val="18"/>
          <w:szCs w:val="18"/>
        </w:rPr>
      </w:pPr>
      <w:r w:rsidRPr="00920ACC">
        <w:rPr>
          <w:rFonts w:ascii="Verdana" w:hAnsi="Verdana"/>
          <w:noProof/>
          <w:sz w:val="18"/>
          <w:szCs w:val="18"/>
        </w:rPr>
        <w:drawing>
          <wp:inline distT="0" distB="0" distL="0" distR="0" wp14:anchorId="2DADF559" wp14:editId="05AA2902">
            <wp:extent cx="2076450" cy="192730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689" b="2365"/>
                    <a:stretch/>
                  </pic:blipFill>
                  <pic:spPr bwMode="auto">
                    <a:xfrm>
                      <a:off x="0" y="0"/>
                      <a:ext cx="2090242" cy="1940105"/>
                    </a:xfrm>
                    <a:prstGeom prst="rect">
                      <a:avLst/>
                    </a:prstGeom>
                    <a:ln>
                      <a:noFill/>
                    </a:ln>
                    <a:extLst>
                      <a:ext uri="{53640926-AAD7-44D8-BBD7-CCE9431645EC}">
                        <a14:shadowObscured xmlns:a14="http://schemas.microsoft.com/office/drawing/2010/main"/>
                      </a:ext>
                    </a:extLst>
                  </pic:spPr>
                </pic:pic>
              </a:graphicData>
            </a:graphic>
          </wp:inline>
        </w:drawing>
      </w:r>
    </w:p>
    <w:p w:rsidR="00421C10" w:rsidRPr="000F7DA7" w:rsidRDefault="00421C10" w:rsidP="0086652B">
      <w:pPr>
        <w:pStyle w:val="Caption"/>
        <w:tabs>
          <w:tab w:val="left" w:pos="1170"/>
          <w:tab w:val="left" w:pos="9360"/>
        </w:tabs>
        <w:spacing w:line="360" w:lineRule="auto"/>
        <w:jc w:val="center"/>
        <w:rPr>
          <w:rFonts w:ascii="Verdana" w:hAnsi="Verdana"/>
          <w:b w:val="0"/>
          <w:color w:val="auto"/>
          <w:sz w:val="16"/>
          <w:szCs w:val="16"/>
        </w:rPr>
      </w:pPr>
      <w:bookmarkStart w:id="41" w:name="_Toc519809145"/>
      <w:r w:rsidRPr="000F7DA7">
        <w:rPr>
          <w:rFonts w:ascii="Verdana" w:hAnsi="Verdana"/>
          <w:i/>
          <w:color w:val="auto"/>
          <w:sz w:val="16"/>
          <w:szCs w:val="16"/>
        </w:rPr>
        <w:t>Figure</w:t>
      </w:r>
      <w:r w:rsidR="00A30CF6" w:rsidRPr="000F7DA7">
        <w:rPr>
          <w:rFonts w:ascii="Verdana" w:hAnsi="Verdana"/>
          <w:i/>
          <w:color w:val="auto"/>
          <w:sz w:val="16"/>
          <w:szCs w:val="16"/>
        </w:rPr>
        <w:t xml:space="preserve"> </w:t>
      </w:r>
      <w:r w:rsidR="000F7DA7">
        <w:rPr>
          <w:rFonts w:ascii="Verdana" w:hAnsi="Verdana"/>
          <w:i/>
          <w:color w:val="auto"/>
          <w:sz w:val="16"/>
          <w:szCs w:val="16"/>
        </w:rPr>
        <w:t>5</w:t>
      </w:r>
      <w:r w:rsidRPr="000F7DA7">
        <w:rPr>
          <w:rFonts w:ascii="Verdana" w:hAnsi="Verdana"/>
          <w:i/>
          <w:color w:val="auto"/>
          <w:sz w:val="16"/>
          <w:szCs w:val="16"/>
        </w:rPr>
        <w:t>:</w:t>
      </w:r>
      <w:r w:rsidRPr="000F7DA7">
        <w:rPr>
          <w:rFonts w:ascii="Verdana" w:hAnsi="Verdana"/>
          <w:color w:val="auto"/>
          <w:sz w:val="16"/>
          <w:szCs w:val="16"/>
        </w:rPr>
        <w:t xml:space="preserve"> </w:t>
      </w:r>
      <w:r w:rsidRPr="000F7DA7">
        <w:rPr>
          <w:rFonts w:ascii="Verdana" w:hAnsi="Verdana"/>
          <w:b w:val="0"/>
          <w:i/>
          <w:color w:val="auto"/>
          <w:sz w:val="16"/>
          <w:szCs w:val="16"/>
        </w:rPr>
        <w:t>Chromosome of 1-cell tetraploid embryo after 16 hr of electrofusion</w:t>
      </w:r>
      <w:bookmarkEnd w:id="41"/>
    </w:p>
    <w:p w:rsidR="00920ACC" w:rsidRPr="00920ACC" w:rsidRDefault="00920ACC" w:rsidP="00421C10">
      <w:pPr>
        <w:tabs>
          <w:tab w:val="left" w:pos="1350"/>
        </w:tabs>
        <w:spacing w:after="0" w:line="360" w:lineRule="auto"/>
        <w:jc w:val="both"/>
        <w:rPr>
          <w:rFonts w:ascii="Verdana" w:hAnsi="Verdana"/>
          <w:b/>
          <w:color w:val="548DD4" w:themeColor="text2" w:themeTint="99"/>
          <w:sz w:val="18"/>
          <w:szCs w:val="18"/>
        </w:rPr>
      </w:pPr>
    </w:p>
    <w:p w:rsidR="00421C10" w:rsidRPr="0086652B" w:rsidRDefault="00421C10" w:rsidP="0086652B">
      <w:pPr>
        <w:pStyle w:val="ListParagraph"/>
        <w:numPr>
          <w:ilvl w:val="0"/>
          <w:numId w:val="5"/>
        </w:numPr>
        <w:spacing w:after="0" w:line="360" w:lineRule="auto"/>
        <w:ind w:left="360"/>
        <w:jc w:val="both"/>
        <w:outlineLvl w:val="0"/>
        <w:rPr>
          <w:rFonts w:ascii="Verdana" w:hAnsi="Verdana"/>
          <w:b/>
          <w:sz w:val="18"/>
          <w:szCs w:val="18"/>
        </w:rPr>
      </w:pPr>
      <w:bookmarkStart w:id="42" w:name="_Toc518292997"/>
      <w:bookmarkStart w:id="43" w:name="_Toc518303860"/>
      <w:bookmarkStart w:id="44" w:name="_Toc518304097"/>
      <w:r w:rsidRPr="00920ACC">
        <w:rPr>
          <w:rFonts w:ascii="Verdana" w:hAnsi="Verdana"/>
          <w:b/>
          <w:sz w:val="18"/>
          <w:szCs w:val="18"/>
        </w:rPr>
        <w:t>CONCLUSION:</w:t>
      </w:r>
      <w:bookmarkEnd w:id="42"/>
      <w:bookmarkEnd w:id="43"/>
      <w:bookmarkEnd w:id="44"/>
    </w:p>
    <w:p w:rsidR="0086652B" w:rsidRDefault="00421C10" w:rsidP="00A30CF6">
      <w:pPr>
        <w:tabs>
          <w:tab w:val="left" w:pos="1350"/>
        </w:tabs>
        <w:spacing w:after="0" w:line="360" w:lineRule="auto"/>
        <w:jc w:val="both"/>
        <w:rPr>
          <w:rFonts w:ascii="Verdana" w:hAnsi="Verdana" w:cs="Times New Roman"/>
          <w:sz w:val="18"/>
          <w:szCs w:val="18"/>
        </w:rPr>
      </w:pPr>
      <w:r w:rsidRPr="00920ACC">
        <w:rPr>
          <w:rFonts w:ascii="Verdana" w:hAnsi="Verdana" w:cs="Times New Roman"/>
          <w:sz w:val="18"/>
          <w:szCs w:val="18"/>
        </w:rPr>
        <w:t xml:space="preserve">In conclusion, </w:t>
      </w:r>
      <w:r w:rsidR="00A30CF6">
        <w:rPr>
          <w:rFonts w:ascii="Verdana" w:hAnsi="Verdana"/>
          <w:sz w:val="18"/>
          <w:szCs w:val="18"/>
        </w:rPr>
        <w:t>t</w:t>
      </w:r>
      <w:r w:rsidR="000F7DA7" w:rsidRPr="00A30CF6">
        <w:rPr>
          <w:rFonts w:ascii="Verdana" w:hAnsi="Verdana"/>
          <w:sz w:val="18"/>
          <w:szCs w:val="18"/>
        </w:rPr>
        <w:t>he optimal electrofusion voltage for mouse embryos at the two-cell stage is 75 volts (AC) and 100 volts (DC)</w:t>
      </w:r>
      <w:r w:rsidR="00A30CF6">
        <w:rPr>
          <w:rFonts w:ascii="Verdana" w:hAnsi="Verdana"/>
          <w:sz w:val="18"/>
          <w:szCs w:val="18"/>
        </w:rPr>
        <w:t xml:space="preserve">. </w:t>
      </w:r>
      <w:r w:rsidR="000F7DA7" w:rsidRPr="00A30CF6">
        <w:rPr>
          <w:rFonts w:ascii="Verdana" w:hAnsi="Verdana" w:cs="Times New Roman"/>
          <w:sz w:val="18"/>
          <w:szCs w:val="18"/>
        </w:rPr>
        <w:t>Both tetraploid embryos and diploid embryos had reached morula and blastocyst stage at equivalent times, eventhough they had different cell numbers. The timing of compaction and blastocyst formation depends on the absolute age after fertilization.</w:t>
      </w:r>
      <w:r w:rsidR="00A30CF6">
        <w:rPr>
          <w:rFonts w:ascii="Verdana" w:hAnsi="Verdana"/>
          <w:sz w:val="18"/>
          <w:szCs w:val="18"/>
        </w:rPr>
        <w:t xml:space="preserve"> </w:t>
      </w:r>
      <w:r w:rsidR="000F7DA7" w:rsidRPr="00A30CF6">
        <w:rPr>
          <w:rFonts w:ascii="Verdana" w:hAnsi="Verdana" w:cs="Times New Roman"/>
          <w:sz w:val="18"/>
          <w:szCs w:val="18"/>
        </w:rPr>
        <w:t>The numbers of cells in the tetraploid blastocysts were significantly smaller than in the diploid blastocysts. The higher numbers of TE cells and ICM cells in diploid blastocyst compared with tetraploid blastocyst.</w:t>
      </w:r>
      <w:r w:rsidR="00A30CF6">
        <w:rPr>
          <w:rFonts w:ascii="Verdana" w:hAnsi="Verdana"/>
          <w:sz w:val="18"/>
          <w:szCs w:val="18"/>
        </w:rPr>
        <w:t xml:space="preserve"> </w:t>
      </w:r>
      <w:r w:rsidR="000F7DA7" w:rsidRPr="00A30CF6">
        <w:rPr>
          <w:rFonts w:ascii="Verdana" w:hAnsi="Verdana" w:cs="Times New Roman"/>
          <w:sz w:val="18"/>
          <w:szCs w:val="18"/>
        </w:rPr>
        <w:t>Around 16 hr after electrofusion, the two chromosome sets had combined together and had reached the second mitotic metaphase.</w:t>
      </w:r>
      <w:r w:rsidR="00A30CF6">
        <w:rPr>
          <w:rFonts w:ascii="Verdana" w:hAnsi="Verdana"/>
          <w:sz w:val="18"/>
          <w:szCs w:val="18"/>
        </w:rPr>
        <w:t xml:space="preserve"> </w:t>
      </w:r>
      <w:r w:rsidRPr="00A30CF6">
        <w:rPr>
          <w:rFonts w:ascii="Verdana" w:hAnsi="Verdana" w:cs="Times New Roman"/>
          <w:sz w:val="18"/>
          <w:szCs w:val="18"/>
        </w:rPr>
        <w:t>These finding will support for the research of the tetraploid complementation assay to avoid embryonic lethality.</w:t>
      </w:r>
    </w:p>
    <w:p w:rsidR="00A30CF6" w:rsidRPr="00A30CF6" w:rsidRDefault="00A30CF6" w:rsidP="00A30CF6">
      <w:pPr>
        <w:tabs>
          <w:tab w:val="left" w:pos="1350"/>
        </w:tabs>
        <w:spacing w:after="0" w:line="360" w:lineRule="auto"/>
        <w:jc w:val="both"/>
        <w:rPr>
          <w:rFonts w:ascii="Verdana" w:hAnsi="Verdana"/>
          <w:sz w:val="18"/>
          <w:szCs w:val="18"/>
        </w:rPr>
      </w:pPr>
    </w:p>
    <w:p w:rsidR="0086652B" w:rsidRPr="0086652B" w:rsidRDefault="00A30CF6" w:rsidP="00A30CF6">
      <w:pPr>
        <w:pStyle w:val="ListParagraph"/>
        <w:numPr>
          <w:ilvl w:val="0"/>
          <w:numId w:val="5"/>
        </w:numPr>
        <w:spacing w:after="0" w:line="360" w:lineRule="auto"/>
        <w:ind w:left="360"/>
        <w:jc w:val="both"/>
        <w:outlineLvl w:val="0"/>
        <w:rPr>
          <w:rFonts w:ascii="Verdana" w:hAnsi="Verdana"/>
          <w:b/>
          <w:sz w:val="18"/>
          <w:szCs w:val="18"/>
        </w:rPr>
      </w:pPr>
      <w:r>
        <w:rPr>
          <w:rFonts w:ascii="Verdana" w:hAnsi="Verdana"/>
          <w:b/>
          <w:sz w:val="18"/>
          <w:szCs w:val="18"/>
        </w:rPr>
        <w:t>REFERENCE</w:t>
      </w:r>
      <w:r w:rsidR="0086652B" w:rsidRPr="0086652B">
        <w:rPr>
          <w:rFonts w:ascii="Verdana" w:hAnsi="Verdana"/>
          <w:b/>
          <w:sz w:val="18"/>
          <w:szCs w:val="18"/>
        </w:rPr>
        <w:t>:</w:t>
      </w:r>
    </w:p>
    <w:p w:rsidR="0086652B" w:rsidRPr="00A30CF6" w:rsidRDefault="0086652B" w:rsidP="00A30CF6">
      <w:pPr>
        <w:pStyle w:val="ListParagraph"/>
        <w:numPr>
          <w:ilvl w:val="0"/>
          <w:numId w:val="9"/>
        </w:numPr>
        <w:shd w:val="clear" w:color="auto" w:fill="FFFFFF"/>
        <w:tabs>
          <w:tab w:val="num" w:pos="540"/>
        </w:tabs>
        <w:spacing w:after="0" w:line="360" w:lineRule="auto"/>
        <w:ind w:left="270" w:hanging="270"/>
        <w:jc w:val="both"/>
        <w:rPr>
          <w:rFonts w:ascii="Verdana" w:hAnsi="Verdana"/>
          <w:sz w:val="18"/>
          <w:szCs w:val="18"/>
        </w:rPr>
      </w:pPr>
      <w:r w:rsidRPr="00A30CF6">
        <w:rPr>
          <w:rFonts w:ascii="Verdana" w:hAnsi="Verdana"/>
          <w:sz w:val="18"/>
          <w:szCs w:val="18"/>
        </w:rPr>
        <w:t>Eakin, G. S. &amp; A. K. Hadjantonakis. (2006). Production of chimeras by aggregation of embryonic stem cells with diploid or tetraploid mouse embryos. Nature Protocols 1:1145-1153.</w:t>
      </w:r>
    </w:p>
    <w:p w:rsidR="0086652B" w:rsidRPr="00A30CF6" w:rsidRDefault="0086652B" w:rsidP="00A30CF6">
      <w:pPr>
        <w:pStyle w:val="ListParagraph"/>
        <w:widowControl w:val="0"/>
        <w:numPr>
          <w:ilvl w:val="0"/>
          <w:numId w:val="9"/>
        </w:numPr>
        <w:shd w:val="clear" w:color="auto" w:fill="FFFFFF"/>
        <w:tabs>
          <w:tab w:val="num" w:pos="540"/>
        </w:tabs>
        <w:autoSpaceDE w:val="0"/>
        <w:autoSpaceDN w:val="0"/>
        <w:adjustRightInd w:val="0"/>
        <w:spacing w:after="0" w:line="360" w:lineRule="auto"/>
        <w:ind w:left="270" w:hanging="270"/>
        <w:jc w:val="both"/>
        <w:rPr>
          <w:rFonts w:ascii="Verdana" w:hAnsi="Verdana"/>
          <w:b/>
          <w:bCs/>
          <w:sz w:val="18"/>
          <w:szCs w:val="18"/>
        </w:rPr>
      </w:pPr>
      <w:r w:rsidRPr="00A30CF6">
        <w:rPr>
          <w:rFonts w:ascii="Verdana" w:hAnsi="Verdana"/>
          <w:sz w:val="18"/>
          <w:szCs w:val="18"/>
          <w:shd w:val="clear" w:color="auto" w:fill="FFFFFF"/>
        </w:rPr>
        <w:t>Agrawal JK, Kharche SD, Saxena A, Patel A, Pathak J, Sikarwar AKS (2016). Tetraploidy induced by electrofusion- A review. Adv. Anim. Vet. Sci. 4(5): 266-270.</w:t>
      </w:r>
    </w:p>
    <w:p w:rsidR="0086652B" w:rsidRPr="00A30CF6" w:rsidRDefault="0086652B" w:rsidP="00A30CF6">
      <w:pPr>
        <w:pStyle w:val="ListParagraph"/>
        <w:widowControl w:val="0"/>
        <w:numPr>
          <w:ilvl w:val="0"/>
          <w:numId w:val="9"/>
        </w:numPr>
        <w:shd w:val="clear" w:color="auto" w:fill="FFFFFF"/>
        <w:tabs>
          <w:tab w:val="num" w:pos="540"/>
        </w:tabs>
        <w:autoSpaceDE w:val="0"/>
        <w:autoSpaceDN w:val="0"/>
        <w:adjustRightInd w:val="0"/>
        <w:spacing w:after="0" w:line="360" w:lineRule="auto"/>
        <w:ind w:left="270" w:hanging="270"/>
        <w:jc w:val="both"/>
        <w:rPr>
          <w:rFonts w:ascii="Verdana" w:hAnsi="Verdana"/>
          <w:bCs/>
          <w:sz w:val="18"/>
          <w:szCs w:val="18"/>
        </w:rPr>
      </w:pPr>
      <w:r w:rsidRPr="00A30CF6">
        <w:rPr>
          <w:rFonts w:ascii="Verdana" w:hAnsi="Verdana"/>
          <w:bCs/>
          <w:sz w:val="18"/>
          <w:szCs w:val="18"/>
        </w:rPr>
        <w:t>Wakayama, S., Cibelli, J.B., Wakayama, T., 2003. Effect of timing of the removal of oocytes chromosomes before or after injection of somatic nucleus on development of NT embryos, Cloning Stem Cells 5 (3), 181-189.</w:t>
      </w:r>
    </w:p>
    <w:p w:rsidR="0086652B" w:rsidRPr="00A30CF6" w:rsidRDefault="0086652B" w:rsidP="00A30CF6">
      <w:pPr>
        <w:pStyle w:val="ListParagraph"/>
        <w:widowControl w:val="0"/>
        <w:numPr>
          <w:ilvl w:val="0"/>
          <w:numId w:val="9"/>
        </w:numPr>
        <w:shd w:val="clear" w:color="auto" w:fill="FFFFFF"/>
        <w:tabs>
          <w:tab w:val="num" w:pos="540"/>
        </w:tabs>
        <w:autoSpaceDE w:val="0"/>
        <w:autoSpaceDN w:val="0"/>
        <w:adjustRightInd w:val="0"/>
        <w:spacing w:after="0" w:line="360" w:lineRule="auto"/>
        <w:ind w:left="270" w:hanging="270"/>
        <w:jc w:val="both"/>
        <w:rPr>
          <w:rFonts w:ascii="Verdana" w:hAnsi="Verdana"/>
          <w:bCs/>
          <w:sz w:val="18"/>
          <w:szCs w:val="18"/>
        </w:rPr>
      </w:pPr>
      <w:r w:rsidRPr="00A30CF6">
        <w:rPr>
          <w:rFonts w:ascii="Verdana" w:hAnsi="Verdana"/>
          <w:sz w:val="18"/>
          <w:szCs w:val="18"/>
        </w:rPr>
        <w:t>Modlinski JA. 1978. Transfer of embryonic nuclei to fertilised mouse eggs and development of tetraploid blastocysts. Nature 273:466–467.</w:t>
      </w:r>
    </w:p>
    <w:p w:rsidR="0086652B" w:rsidRPr="00A30CF6" w:rsidRDefault="0086652B" w:rsidP="00A30CF6">
      <w:pPr>
        <w:pStyle w:val="ListParagraph"/>
        <w:widowControl w:val="0"/>
        <w:numPr>
          <w:ilvl w:val="0"/>
          <w:numId w:val="9"/>
        </w:numPr>
        <w:shd w:val="clear" w:color="auto" w:fill="FFFFFF"/>
        <w:tabs>
          <w:tab w:val="num" w:pos="540"/>
        </w:tabs>
        <w:autoSpaceDE w:val="0"/>
        <w:autoSpaceDN w:val="0"/>
        <w:adjustRightInd w:val="0"/>
        <w:spacing w:after="0" w:line="360" w:lineRule="auto"/>
        <w:ind w:left="270" w:hanging="270"/>
        <w:jc w:val="both"/>
        <w:rPr>
          <w:rFonts w:ascii="Verdana" w:hAnsi="Verdana"/>
          <w:bCs/>
          <w:sz w:val="18"/>
          <w:szCs w:val="18"/>
        </w:rPr>
      </w:pPr>
      <w:r w:rsidRPr="00A30CF6">
        <w:rPr>
          <w:rFonts w:ascii="Verdana" w:hAnsi="Verdana"/>
          <w:sz w:val="18"/>
          <w:szCs w:val="18"/>
        </w:rPr>
        <w:t>Modlinski JA. 1981. The fate of inner cell mass and trophectoderm nuclei transplanted to fertilized mouse eggs. Nature 292:342–343.</w:t>
      </w:r>
    </w:p>
    <w:p w:rsidR="0086652B" w:rsidRPr="00A30CF6" w:rsidRDefault="0086652B" w:rsidP="00A30CF6">
      <w:pPr>
        <w:pStyle w:val="ListParagraph"/>
        <w:widowControl w:val="0"/>
        <w:numPr>
          <w:ilvl w:val="0"/>
          <w:numId w:val="9"/>
        </w:numPr>
        <w:shd w:val="clear" w:color="auto" w:fill="FFFFFF"/>
        <w:tabs>
          <w:tab w:val="num" w:pos="540"/>
        </w:tabs>
        <w:autoSpaceDE w:val="0"/>
        <w:autoSpaceDN w:val="0"/>
        <w:adjustRightInd w:val="0"/>
        <w:spacing w:after="0" w:line="360" w:lineRule="auto"/>
        <w:ind w:left="270" w:hanging="270"/>
        <w:jc w:val="both"/>
        <w:rPr>
          <w:rFonts w:ascii="Verdana" w:hAnsi="Verdana"/>
          <w:bCs/>
          <w:sz w:val="18"/>
          <w:szCs w:val="18"/>
        </w:rPr>
      </w:pPr>
      <w:r w:rsidRPr="00A30CF6">
        <w:rPr>
          <w:rFonts w:ascii="Verdana" w:hAnsi="Verdana"/>
          <w:sz w:val="18"/>
          <w:szCs w:val="18"/>
        </w:rPr>
        <w:t>Nagy A, Gocza E, Diaz EM, Prideaux VR, Ivanyi E, Markkula M, Rossant J. 1990. Embryonic stem cells alone are able to support fetal development in the mouse. Development 110:815–821</w:t>
      </w:r>
    </w:p>
    <w:p w:rsidR="0086652B" w:rsidRPr="00A30CF6" w:rsidRDefault="0086652B" w:rsidP="00A30CF6">
      <w:pPr>
        <w:pStyle w:val="ListParagraph"/>
        <w:widowControl w:val="0"/>
        <w:numPr>
          <w:ilvl w:val="0"/>
          <w:numId w:val="9"/>
        </w:numPr>
        <w:shd w:val="clear" w:color="auto" w:fill="FFFFFF"/>
        <w:autoSpaceDE w:val="0"/>
        <w:autoSpaceDN w:val="0"/>
        <w:adjustRightInd w:val="0"/>
        <w:spacing w:after="0" w:line="360" w:lineRule="auto"/>
        <w:ind w:left="270" w:hanging="270"/>
        <w:jc w:val="both"/>
        <w:rPr>
          <w:rFonts w:ascii="Verdana" w:hAnsi="Verdana"/>
          <w:bCs/>
          <w:sz w:val="18"/>
          <w:szCs w:val="18"/>
        </w:rPr>
      </w:pPr>
      <w:r w:rsidRPr="00A30CF6">
        <w:rPr>
          <w:rFonts w:ascii="Verdana" w:eastAsia="Dotum" w:hAnsi="Verdana"/>
          <w:color w:val="000000"/>
          <w:sz w:val="18"/>
          <w:szCs w:val="18"/>
          <w:shd w:val="clear" w:color="auto" w:fill="FFFFFF"/>
        </w:rPr>
        <w:t>Agrawal JK , Kharche SD , Saxena A , Patel A , Pathak J , Sikarwar AKS (2016) Tetraploidy induced by electrofusion - a review , Advances in Animal and Veterinary Sciences, Vol.4 ; pp.266-270</w:t>
      </w:r>
    </w:p>
    <w:p w:rsidR="00421C10" w:rsidRPr="00920ACC" w:rsidRDefault="00421C10">
      <w:pPr>
        <w:rPr>
          <w:sz w:val="18"/>
          <w:szCs w:val="18"/>
        </w:rPr>
      </w:pPr>
    </w:p>
    <w:sectPr w:rsidR="00421C10" w:rsidRPr="00920ACC" w:rsidSect="00421C10">
      <w:pgSz w:w="12240" w:h="15840"/>
      <w:pgMar w:top="72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DAE"/>
      </v:shape>
    </w:pict>
  </w:numPicBullet>
  <w:abstractNum w:abstractNumId="0">
    <w:nsid w:val="00F14D68"/>
    <w:multiLevelType w:val="hybridMultilevel"/>
    <w:tmpl w:val="975E6136"/>
    <w:lvl w:ilvl="0" w:tplc="BB227F50">
      <w:start w:val="16"/>
      <w:numFmt w:val="decimal"/>
      <w:lvlText w:val="%1"/>
      <w:lvlJc w:val="left"/>
      <w:pPr>
        <w:ind w:left="720" w:hanging="360"/>
      </w:pPr>
      <w:rPr>
        <w:rFonts w:hint="default"/>
        <w:i w:val="0"/>
        <w:color w:val="24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B20BB"/>
    <w:multiLevelType w:val="multilevel"/>
    <w:tmpl w:val="6C764B0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4F500E"/>
    <w:multiLevelType w:val="hybridMultilevel"/>
    <w:tmpl w:val="EF0E8F82"/>
    <w:lvl w:ilvl="0" w:tplc="4E1637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0A67F7"/>
    <w:multiLevelType w:val="hybridMultilevel"/>
    <w:tmpl w:val="FAF07B88"/>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E622F9"/>
    <w:multiLevelType w:val="hybridMultilevel"/>
    <w:tmpl w:val="E0662D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DA478A"/>
    <w:multiLevelType w:val="hybridMultilevel"/>
    <w:tmpl w:val="7874661E"/>
    <w:lvl w:ilvl="0" w:tplc="2A66137C">
      <w:start w:val="1"/>
      <w:numFmt w:val="bullet"/>
      <w:lvlText w:val="•"/>
      <w:lvlJc w:val="left"/>
      <w:pPr>
        <w:tabs>
          <w:tab w:val="num" w:pos="720"/>
        </w:tabs>
        <w:ind w:left="720" w:hanging="360"/>
      </w:pPr>
      <w:rPr>
        <w:rFonts w:ascii="Arial" w:hAnsi="Arial" w:hint="default"/>
      </w:rPr>
    </w:lvl>
    <w:lvl w:ilvl="1" w:tplc="B8E232FC" w:tentative="1">
      <w:start w:val="1"/>
      <w:numFmt w:val="bullet"/>
      <w:lvlText w:val="•"/>
      <w:lvlJc w:val="left"/>
      <w:pPr>
        <w:tabs>
          <w:tab w:val="num" w:pos="1440"/>
        </w:tabs>
        <w:ind w:left="1440" w:hanging="360"/>
      </w:pPr>
      <w:rPr>
        <w:rFonts w:ascii="Arial" w:hAnsi="Arial" w:hint="default"/>
      </w:rPr>
    </w:lvl>
    <w:lvl w:ilvl="2" w:tplc="63E8100C" w:tentative="1">
      <w:start w:val="1"/>
      <w:numFmt w:val="bullet"/>
      <w:lvlText w:val="•"/>
      <w:lvlJc w:val="left"/>
      <w:pPr>
        <w:tabs>
          <w:tab w:val="num" w:pos="2160"/>
        </w:tabs>
        <w:ind w:left="2160" w:hanging="360"/>
      </w:pPr>
      <w:rPr>
        <w:rFonts w:ascii="Arial" w:hAnsi="Arial" w:hint="default"/>
      </w:rPr>
    </w:lvl>
    <w:lvl w:ilvl="3" w:tplc="1E24C496" w:tentative="1">
      <w:start w:val="1"/>
      <w:numFmt w:val="bullet"/>
      <w:lvlText w:val="•"/>
      <w:lvlJc w:val="left"/>
      <w:pPr>
        <w:tabs>
          <w:tab w:val="num" w:pos="2880"/>
        </w:tabs>
        <w:ind w:left="2880" w:hanging="360"/>
      </w:pPr>
      <w:rPr>
        <w:rFonts w:ascii="Arial" w:hAnsi="Arial" w:hint="default"/>
      </w:rPr>
    </w:lvl>
    <w:lvl w:ilvl="4" w:tplc="580ACAC0" w:tentative="1">
      <w:start w:val="1"/>
      <w:numFmt w:val="bullet"/>
      <w:lvlText w:val="•"/>
      <w:lvlJc w:val="left"/>
      <w:pPr>
        <w:tabs>
          <w:tab w:val="num" w:pos="3600"/>
        </w:tabs>
        <w:ind w:left="3600" w:hanging="360"/>
      </w:pPr>
      <w:rPr>
        <w:rFonts w:ascii="Arial" w:hAnsi="Arial" w:hint="default"/>
      </w:rPr>
    </w:lvl>
    <w:lvl w:ilvl="5" w:tplc="9B6611CC" w:tentative="1">
      <w:start w:val="1"/>
      <w:numFmt w:val="bullet"/>
      <w:lvlText w:val="•"/>
      <w:lvlJc w:val="left"/>
      <w:pPr>
        <w:tabs>
          <w:tab w:val="num" w:pos="4320"/>
        </w:tabs>
        <w:ind w:left="4320" w:hanging="360"/>
      </w:pPr>
      <w:rPr>
        <w:rFonts w:ascii="Arial" w:hAnsi="Arial" w:hint="default"/>
      </w:rPr>
    </w:lvl>
    <w:lvl w:ilvl="6" w:tplc="0E2854EE" w:tentative="1">
      <w:start w:val="1"/>
      <w:numFmt w:val="bullet"/>
      <w:lvlText w:val="•"/>
      <w:lvlJc w:val="left"/>
      <w:pPr>
        <w:tabs>
          <w:tab w:val="num" w:pos="5040"/>
        </w:tabs>
        <w:ind w:left="5040" w:hanging="360"/>
      </w:pPr>
      <w:rPr>
        <w:rFonts w:ascii="Arial" w:hAnsi="Arial" w:hint="default"/>
      </w:rPr>
    </w:lvl>
    <w:lvl w:ilvl="7" w:tplc="96AA8414" w:tentative="1">
      <w:start w:val="1"/>
      <w:numFmt w:val="bullet"/>
      <w:lvlText w:val="•"/>
      <w:lvlJc w:val="left"/>
      <w:pPr>
        <w:tabs>
          <w:tab w:val="num" w:pos="5760"/>
        </w:tabs>
        <w:ind w:left="5760" w:hanging="360"/>
      </w:pPr>
      <w:rPr>
        <w:rFonts w:ascii="Arial" w:hAnsi="Arial" w:hint="default"/>
      </w:rPr>
    </w:lvl>
    <w:lvl w:ilvl="8" w:tplc="7556EC64" w:tentative="1">
      <w:start w:val="1"/>
      <w:numFmt w:val="bullet"/>
      <w:lvlText w:val="•"/>
      <w:lvlJc w:val="left"/>
      <w:pPr>
        <w:tabs>
          <w:tab w:val="num" w:pos="6480"/>
        </w:tabs>
        <w:ind w:left="6480" w:hanging="360"/>
      </w:pPr>
      <w:rPr>
        <w:rFonts w:ascii="Arial" w:hAnsi="Arial" w:hint="default"/>
      </w:rPr>
    </w:lvl>
  </w:abstractNum>
  <w:abstractNum w:abstractNumId="6">
    <w:nsid w:val="55C94A48"/>
    <w:multiLevelType w:val="multilevel"/>
    <w:tmpl w:val="E4CC21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6DD72CC4"/>
    <w:multiLevelType w:val="hybridMultilevel"/>
    <w:tmpl w:val="1C4AAE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E96687"/>
    <w:multiLevelType w:val="hybridMultilevel"/>
    <w:tmpl w:val="33383FF0"/>
    <w:lvl w:ilvl="0" w:tplc="269EE556">
      <w:start w:val="1"/>
      <w:numFmt w:val="bullet"/>
      <w:lvlText w:val="•"/>
      <w:lvlJc w:val="left"/>
      <w:pPr>
        <w:tabs>
          <w:tab w:val="num" w:pos="720"/>
        </w:tabs>
        <w:ind w:left="720" w:hanging="360"/>
      </w:pPr>
      <w:rPr>
        <w:rFonts w:ascii="Arial" w:hAnsi="Arial" w:hint="default"/>
      </w:rPr>
    </w:lvl>
    <w:lvl w:ilvl="1" w:tplc="D4961FEC" w:tentative="1">
      <w:start w:val="1"/>
      <w:numFmt w:val="bullet"/>
      <w:lvlText w:val="•"/>
      <w:lvlJc w:val="left"/>
      <w:pPr>
        <w:tabs>
          <w:tab w:val="num" w:pos="1440"/>
        </w:tabs>
        <w:ind w:left="1440" w:hanging="360"/>
      </w:pPr>
      <w:rPr>
        <w:rFonts w:ascii="Arial" w:hAnsi="Arial" w:hint="default"/>
      </w:rPr>
    </w:lvl>
    <w:lvl w:ilvl="2" w:tplc="0D6E776A" w:tentative="1">
      <w:start w:val="1"/>
      <w:numFmt w:val="bullet"/>
      <w:lvlText w:val="•"/>
      <w:lvlJc w:val="left"/>
      <w:pPr>
        <w:tabs>
          <w:tab w:val="num" w:pos="2160"/>
        </w:tabs>
        <w:ind w:left="2160" w:hanging="360"/>
      </w:pPr>
      <w:rPr>
        <w:rFonts w:ascii="Arial" w:hAnsi="Arial" w:hint="default"/>
      </w:rPr>
    </w:lvl>
    <w:lvl w:ilvl="3" w:tplc="B00657DE" w:tentative="1">
      <w:start w:val="1"/>
      <w:numFmt w:val="bullet"/>
      <w:lvlText w:val="•"/>
      <w:lvlJc w:val="left"/>
      <w:pPr>
        <w:tabs>
          <w:tab w:val="num" w:pos="2880"/>
        </w:tabs>
        <w:ind w:left="2880" w:hanging="360"/>
      </w:pPr>
      <w:rPr>
        <w:rFonts w:ascii="Arial" w:hAnsi="Arial" w:hint="default"/>
      </w:rPr>
    </w:lvl>
    <w:lvl w:ilvl="4" w:tplc="619C18F2" w:tentative="1">
      <w:start w:val="1"/>
      <w:numFmt w:val="bullet"/>
      <w:lvlText w:val="•"/>
      <w:lvlJc w:val="left"/>
      <w:pPr>
        <w:tabs>
          <w:tab w:val="num" w:pos="3600"/>
        </w:tabs>
        <w:ind w:left="3600" w:hanging="360"/>
      </w:pPr>
      <w:rPr>
        <w:rFonts w:ascii="Arial" w:hAnsi="Arial" w:hint="default"/>
      </w:rPr>
    </w:lvl>
    <w:lvl w:ilvl="5" w:tplc="4684B418" w:tentative="1">
      <w:start w:val="1"/>
      <w:numFmt w:val="bullet"/>
      <w:lvlText w:val="•"/>
      <w:lvlJc w:val="left"/>
      <w:pPr>
        <w:tabs>
          <w:tab w:val="num" w:pos="4320"/>
        </w:tabs>
        <w:ind w:left="4320" w:hanging="360"/>
      </w:pPr>
      <w:rPr>
        <w:rFonts w:ascii="Arial" w:hAnsi="Arial" w:hint="default"/>
      </w:rPr>
    </w:lvl>
    <w:lvl w:ilvl="6" w:tplc="9ACE7018" w:tentative="1">
      <w:start w:val="1"/>
      <w:numFmt w:val="bullet"/>
      <w:lvlText w:val="•"/>
      <w:lvlJc w:val="left"/>
      <w:pPr>
        <w:tabs>
          <w:tab w:val="num" w:pos="5040"/>
        </w:tabs>
        <w:ind w:left="5040" w:hanging="360"/>
      </w:pPr>
      <w:rPr>
        <w:rFonts w:ascii="Arial" w:hAnsi="Arial" w:hint="default"/>
      </w:rPr>
    </w:lvl>
    <w:lvl w:ilvl="7" w:tplc="E8442912" w:tentative="1">
      <w:start w:val="1"/>
      <w:numFmt w:val="bullet"/>
      <w:lvlText w:val="•"/>
      <w:lvlJc w:val="left"/>
      <w:pPr>
        <w:tabs>
          <w:tab w:val="num" w:pos="5760"/>
        </w:tabs>
        <w:ind w:left="5760" w:hanging="360"/>
      </w:pPr>
      <w:rPr>
        <w:rFonts w:ascii="Arial" w:hAnsi="Arial" w:hint="default"/>
      </w:rPr>
    </w:lvl>
    <w:lvl w:ilvl="8" w:tplc="18B8886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2"/>
  </w:num>
  <w:num w:numId="3">
    <w:abstractNumId w:val="4"/>
  </w:num>
  <w:num w:numId="4">
    <w:abstractNumId w:val="0"/>
  </w:num>
  <w:num w:numId="5">
    <w:abstractNumId w:val="3"/>
  </w:num>
  <w:num w:numId="6">
    <w:abstractNumId w:val="1"/>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formatting="1" w:enforcement="1" w:cryptProviderType="rsaFull" w:cryptAlgorithmClass="hash" w:cryptAlgorithmType="typeAny" w:cryptAlgorithmSid="4" w:cryptSpinCount="100000" w:hash="rNLDpkDalqy/QrT6a+lgvPLyH0o=" w:salt="dLdgZovCM+mD0mGoyNKQHg=="/>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EFD"/>
    <w:rsid w:val="000F7DA7"/>
    <w:rsid w:val="003C0EFD"/>
    <w:rsid w:val="00421C10"/>
    <w:rsid w:val="00503687"/>
    <w:rsid w:val="00625D74"/>
    <w:rsid w:val="00683019"/>
    <w:rsid w:val="00764753"/>
    <w:rsid w:val="0086652B"/>
    <w:rsid w:val="00920ACC"/>
    <w:rsid w:val="009A01C3"/>
    <w:rsid w:val="00A30CF6"/>
    <w:rsid w:val="00A51774"/>
    <w:rsid w:val="00B40D2C"/>
    <w:rsid w:val="00CD758D"/>
    <w:rsid w:val="00D03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10"/>
  </w:style>
  <w:style w:type="paragraph" w:styleId="Heading1">
    <w:name w:val="heading 1"/>
    <w:basedOn w:val="Normal"/>
    <w:next w:val="Normal"/>
    <w:link w:val="Heading1Char"/>
    <w:uiPriority w:val="9"/>
    <w:qFormat/>
    <w:rsid w:val="00920A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019"/>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421C10"/>
    <w:pPr>
      <w:ind w:left="720"/>
      <w:contextualSpacing/>
    </w:pPr>
    <w:rPr>
      <w:rFonts w:ascii="Calibri" w:eastAsia="Times New Roman" w:hAnsi="Calibri" w:cs="Times New Roman"/>
    </w:rPr>
  </w:style>
  <w:style w:type="table" w:styleId="TableGrid">
    <w:name w:val="Table Grid"/>
    <w:basedOn w:val="TableNormal"/>
    <w:uiPriority w:val="59"/>
    <w:rsid w:val="00421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21C10"/>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21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C10"/>
    <w:rPr>
      <w:rFonts w:ascii="Tahoma" w:hAnsi="Tahoma" w:cs="Tahoma"/>
      <w:sz w:val="16"/>
      <w:szCs w:val="16"/>
    </w:rPr>
  </w:style>
  <w:style w:type="character" w:customStyle="1" w:styleId="Heading1Char">
    <w:name w:val="Heading 1 Char"/>
    <w:basedOn w:val="DefaultParagraphFont"/>
    <w:link w:val="Heading1"/>
    <w:uiPriority w:val="9"/>
    <w:rsid w:val="00920AC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20A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10"/>
  </w:style>
  <w:style w:type="paragraph" w:styleId="Heading1">
    <w:name w:val="heading 1"/>
    <w:basedOn w:val="Normal"/>
    <w:next w:val="Normal"/>
    <w:link w:val="Heading1Char"/>
    <w:uiPriority w:val="9"/>
    <w:qFormat/>
    <w:rsid w:val="00920A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019"/>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421C10"/>
    <w:pPr>
      <w:ind w:left="720"/>
      <w:contextualSpacing/>
    </w:pPr>
    <w:rPr>
      <w:rFonts w:ascii="Calibri" w:eastAsia="Times New Roman" w:hAnsi="Calibri" w:cs="Times New Roman"/>
    </w:rPr>
  </w:style>
  <w:style w:type="table" w:styleId="TableGrid">
    <w:name w:val="Table Grid"/>
    <w:basedOn w:val="TableNormal"/>
    <w:uiPriority w:val="59"/>
    <w:rsid w:val="00421C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21C10"/>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21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C10"/>
    <w:rPr>
      <w:rFonts w:ascii="Tahoma" w:hAnsi="Tahoma" w:cs="Tahoma"/>
      <w:sz w:val="16"/>
      <w:szCs w:val="16"/>
    </w:rPr>
  </w:style>
  <w:style w:type="character" w:customStyle="1" w:styleId="Heading1Char">
    <w:name w:val="Heading 1 Char"/>
    <w:basedOn w:val="DefaultParagraphFont"/>
    <w:link w:val="Heading1"/>
    <w:uiPriority w:val="9"/>
    <w:rsid w:val="00920AC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20A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31634">
      <w:bodyDiv w:val="1"/>
      <w:marLeft w:val="0"/>
      <w:marRight w:val="0"/>
      <w:marTop w:val="0"/>
      <w:marBottom w:val="0"/>
      <w:divBdr>
        <w:top w:val="none" w:sz="0" w:space="0" w:color="auto"/>
        <w:left w:val="none" w:sz="0" w:space="0" w:color="auto"/>
        <w:bottom w:val="none" w:sz="0" w:space="0" w:color="auto"/>
        <w:right w:val="none" w:sz="0" w:space="0" w:color="auto"/>
      </w:divBdr>
    </w:div>
    <w:div w:id="454297166">
      <w:bodyDiv w:val="1"/>
      <w:marLeft w:val="0"/>
      <w:marRight w:val="0"/>
      <w:marTop w:val="0"/>
      <w:marBottom w:val="0"/>
      <w:divBdr>
        <w:top w:val="none" w:sz="0" w:space="0" w:color="auto"/>
        <w:left w:val="none" w:sz="0" w:space="0" w:color="auto"/>
        <w:bottom w:val="none" w:sz="0" w:space="0" w:color="auto"/>
        <w:right w:val="none" w:sz="0" w:space="0" w:color="auto"/>
      </w:divBdr>
      <w:divsChild>
        <w:div w:id="148864768">
          <w:marLeft w:val="720"/>
          <w:marRight w:val="0"/>
          <w:marTop w:val="0"/>
          <w:marBottom w:val="0"/>
          <w:divBdr>
            <w:top w:val="none" w:sz="0" w:space="0" w:color="auto"/>
            <w:left w:val="none" w:sz="0" w:space="0" w:color="auto"/>
            <w:bottom w:val="none" w:sz="0" w:space="0" w:color="auto"/>
            <w:right w:val="none" w:sz="0" w:space="0" w:color="auto"/>
          </w:divBdr>
        </w:div>
        <w:div w:id="1543900342">
          <w:marLeft w:val="720"/>
          <w:marRight w:val="0"/>
          <w:marTop w:val="0"/>
          <w:marBottom w:val="0"/>
          <w:divBdr>
            <w:top w:val="none" w:sz="0" w:space="0" w:color="auto"/>
            <w:left w:val="none" w:sz="0" w:space="0" w:color="auto"/>
            <w:bottom w:val="none" w:sz="0" w:space="0" w:color="auto"/>
            <w:right w:val="none" w:sz="0" w:space="0" w:color="auto"/>
          </w:divBdr>
        </w:div>
        <w:div w:id="418672660">
          <w:marLeft w:val="720"/>
          <w:marRight w:val="0"/>
          <w:marTop w:val="0"/>
          <w:marBottom w:val="0"/>
          <w:divBdr>
            <w:top w:val="none" w:sz="0" w:space="0" w:color="auto"/>
            <w:left w:val="none" w:sz="0" w:space="0" w:color="auto"/>
            <w:bottom w:val="none" w:sz="0" w:space="0" w:color="auto"/>
            <w:right w:val="none" w:sz="0" w:space="0" w:color="auto"/>
          </w:divBdr>
        </w:div>
        <w:div w:id="1906604618">
          <w:marLeft w:val="720"/>
          <w:marRight w:val="0"/>
          <w:marTop w:val="0"/>
          <w:marBottom w:val="0"/>
          <w:divBdr>
            <w:top w:val="none" w:sz="0" w:space="0" w:color="auto"/>
            <w:left w:val="none" w:sz="0" w:space="0" w:color="auto"/>
            <w:bottom w:val="none" w:sz="0" w:space="0" w:color="auto"/>
            <w:right w:val="none" w:sz="0" w:space="0" w:color="auto"/>
          </w:divBdr>
        </w:div>
      </w:divsChild>
    </w:div>
    <w:div w:id="944726564">
      <w:bodyDiv w:val="1"/>
      <w:marLeft w:val="0"/>
      <w:marRight w:val="0"/>
      <w:marTop w:val="0"/>
      <w:marBottom w:val="0"/>
      <w:divBdr>
        <w:top w:val="none" w:sz="0" w:space="0" w:color="auto"/>
        <w:left w:val="none" w:sz="0" w:space="0" w:color="auto"/>
        <w:bottom w:val="none" w:sz="0" w:space="0" w:color="auto"/>
        <w:right w:val="none" w:sz="0" w:space="0" w:color="auto"/>
      </w:divBdr>
    </w:div>
    <w:div w:id="1464613298">
      <w:bodyDiv w:val="1"/>
      <w:marLeft w:val="0"/>
      <w:marRight w:val="0"/>
      <w:marTop w:val="0"/>
      <w:marBottom w:val="0"/>
      <w:divBdr>
        <w:top w:val="none" w:sz="0" w:space="0" w:color="auto"/>
        <w:left w:val="none" w:sz="0" w:space="0" w:color="auto"/>
        <w:bottom w:val="none" w:sz="0" w:space="0" w:color="auto"/>
        <w:right w:val="none" w:sz="0" w:space="0" w:color="auto"/>
      </w:divBdr>
    </w:div>
    <w:div w:id="1871262886">
      <w:bodyDiv w:val="1"/>
      <w:marLeft w:val="0"/>
      <w:marRight w:val="0"/>
      <w:marTop w:val="0"/>
      <w:marBottom w:val="0"/>
      <w:divBdr>
        <w:top w:val="none" w:sz="0" w:space="0" w:color="auto"/>
        <w:left w:val="none" w:sz="0" w:space="0" w:color="auto"/>
        <w:bottom w:val="none" w:sz="0" w:space="0" w:color="auto"/>
        <w:right w:val="none" w:sz="0" w:space="0" w:color="auto"/>
      </w:divBdr>
      <w:divsChild>
        <w:div w:id="78546256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8C253-338F-492D-BDA7-49605EF4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2596</Words>
  <Characters>14799</Characters>
  <Application>Microsoft Office Word</Application>
  <DocSecurity>8</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17361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 Mai</dc:creator>
  <cp:lastModifiedBy>Sao Mai</cp:lastModifiedBy>
  <cp:revision>4</cp:revision>
  <dcterms:created xsi:type="dcterms:W3CDTF">2019-12-11T07:39:00Z</dcterms:created>
  <dcterms:modified xsi:type="dcterms:W3CDTF">2019-12-11T07:42:00Z</dcterms:modified>
</cp:coreProperties>
</file>