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40141" w:rsidP="00F10B48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F10B48" w:rsidP="00F10B48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328B69E7" wp14:editId="296A9617">
                                  <wp:extent cx="1600200" cy="1388791"/>
                                  <wp:effectExtent l="0" t="0" r="0" b="0"/>
                                  <wp:docPr id="37" name="صورة 36" descr="IUP_wave_artmar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صورة 36" descr="IUP_wave_artmark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4428" cy="14011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F10B48" w:rsidP="00F10B48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328B69E7" wp14:editId="296A9617">
                            <wp:extent cx="1600200" cy="1388791"/>
                            <wp:effectExtent l="0" t="0" r="0" b="0"/>
                            <wp:docPr id="37" name="صورة 36" descr="IUP_wave_artmar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صورة 36" descr="IUP_wave_artmark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4428" cy="14011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77F41A0B" wp14:editId="6A98070A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a5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7DFE" w:rsidRPr="00F1609B" w:rsidRDefault="00074C9C" w:rsidP="00077DFE">
      <w:pPr>
        <w:spacing w:line="480" w:lineRule="auto"/>
        <w:jc w:val="center"/>
        <w:rPr>
          <w:rFonts w:asciiTheme="majorBidi" w:hAnsiTheme="majorBidi" w:cstheme="majorBidi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bookmarkStart w:id="0" w:name="_GoBack"/>
      <w:r w:rsidR="00077DFE">
        <w:rPr>
          <w:rFonts w:asciiTheme="majorBidi" w:hAnsiTheme="majorBidi" w:cstheme="majorBidi"/>
          <w:sz w:val="28"/>
          <w:szCs w:val="28"/>
        </w:rPr>
        <w:t>EBP PROTOC</w:t>
      </w:r>
      <w:r w:rsidR="00960DD8">
        <w:rPr>
          <w:rFonts w:asciiTheme="majorBidi" w:hAnsiTheme="majorBidi" w:cstheme="majorBidi"/>
          <w:sz w:val="28"/>
          <w:szCs w:val="28"/>
        </w:rPr>
        <w:t>O</w:t>
      </w:r>
      <w:r w:rsidR="00077DFE">
        <w:rPr>
          <w:rFonts w:asciiTheme="majorBidi" w:hAnsiTheme="majorBidi" w:cstheme="majorBidi"/>
          <w:sz w:val="28"/>
          <w:szCs w:val="28"/>
        </w:rPr>
        <w:t xml:space="preserve">L TO SUPPORT </w:t>
      </w:r>
      <w:r w:rsidR="00AB3C77">
        <w:rPr>
          <w:rFonts w:asciiTheme="majorBidi" w:hAnsiTheme="majorBidi" w:cstheme="majorBidi"/>
          <w:sz w:val="28"/>
          <w:szCs w:val="28"/>
        </w:rPr>
        <w:t xml:space="preserve">THE </w:t>
      </w:r>
      <w:r w:rsidR="00077DFE">
        <w:rPr>
          <w:rFonts w:asciiTheme="majorBidi" w:hAnsiTheme="majorBidi" w:cstheme="majorBidi"/>
          <w:sz w:val="28"/>
          <w:szCs w:val="28"/>
        </w:rPr>
        <w:t>USE OF OLIVE OIL FOR MANAGING TYPE 2 DIABETES</w:t>
      </w:r>
      <w:r w:rsidR="00077DFE" w:rsidRPr="00077DFE">
        <w:rPr>
          <w:rFonts w:asciiTheme="majorBidi" w:hAnsiTheme="majorBidi" w:cstheme="majorBidi"/>
          <w:sz w:val="28"/>
          <w:szCs w:val="28"/>
        </w:rPr>
        <w:t xml:space="preserve"> </w:t>
      </w:r>
      <w:bookmarkEnd w:id="0"/>
    </w:p>
    <w:p w:rsidR="00074C9C" w:rsidRPr="00327F9B" w:rsidRDefault="00074C9C" w:rsidP="00077DFE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B72421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077DFE">
        <w:rPr>
          <w:rFonts w:eastAsia="MS PGothic" w:hAnsi="Arial"/>
          <w:color w:val="000000"/>
        </w:rPr>
        <w:t>Abeer</w:t>
      </w:r>
      <w:proofErr w:type="spellEnd"/>
      <w:r w:rsidR="00077DFE">
        <w:rPr>
          <w:rFonts w:eastAsia="MS PGothic" w:hAnsi="Arial"/>
          <w:color w:val="000000"/>
        </w:rPr>
        <w:t xml:space="preserve"> </w:t>
      </w:r>
      <w:proofErr w:type="spellStart"/>
      <w:r w:rsidR="00077DFE">
        <w:rPr>
          <w:rFonts w:eastAsia="MS PGothic" w:hAnsi="Arial"/>
          <w:color w:val="000000"/>
        </w:rPr>
        <w:t>Aseeri</w:t>
      </w:r>
      <w:proofErr w:type="spellEnd"/>
      <w:r w:rsidR="00414977">
        <w:rPr>
          <w:rFonts w:eastAsia="MS PGothic" w:hAnsi="Arial"/>
          <w:color w:val="000000"/>
        </w:rPr>
        <w:t>, BSN, RN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414977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077DFE">
        <w:rPr>
          <w:rFonts w:eastAsia="MS PGothic" w:hAnsi="Arial"/>
          <w:color w:val="000000"/>
        </w:rPr>
        <w:t>Indiana University of Pennsylvania</w:t>
      </w:r>
      <w:r w:rsidRPr="00327F9B">
        <w:rPr>
          <w:rFonts w:eastAsia="MS PGothic" w:hAnsi="Arial"/>
          <w:color w:val="000000"/>
        </w:rPr>
        <w:t xml:space="preserve">, </w:t>
      </w:r>
      <w:r w:rsidR="00414977">
        <w:rPr>
          <w:rFonts w:eastAsia="MS PGothic" w:hAnsi="Arial"/>
          <w:color w:val="000000"/>
        </w:rPr>
        <w:t xml:space="preserve">Indiana, </w:t>
      </w:r>
      <w:r w:rsidR="00077DFE">
        <w:rPr>
          <w:rFonts w:eastAsia="MS PGothic" w:hAnsi="Arial"/>
          <w:color w:val="000000"/>
        </w:rPr>
        <w:t>PA</w:t>
      </w:r>
      <w:r w:rsidRPr="00327F9B">
        <w:rPr>
          <w:rFonts w:eastAsia="MS PGothic" w:hAnsi="Arial"/>
          <w:color w:val="000000"/>
        </w:rPr>
        <w:t>, USA</w:t>
      </w:r>
    </w:p>
    <w:p w:rsidR="00DB61E1" w:rsidRDefault="00DB61E1" w:rsidP="00DB61E1">
      <w:pPr>
        <w:rPr>
          <w:rFonts w:asciiTheme="majorBidi" w:hAnsiTheme="majorBidi" w:cstheme="majorBidi"/>
        </w:rPr>
      </w:pPr>
    </w:p>
    <w:p w:rsidR="00363668" w:rsidRPr="00AB3C77" w:rsidRDefault="00DB61E1" w:rsidP="004928AF">
      <w:pPr>
        <w:ind w:firstLine="720"/>
        <w:rPr>
          <w:rFonts w:asciiTheme="majorBidi" w:hAnsiTheme="majorBidi" w:cstheme="majorBidi"/>
        </w:rPr>
      </w:pPr>
      <w:r w:rsidRPr="00F1609B">
        <w:rPr>
          <w:rFonts w:asciiTheme="majorBidi" w:hAnsiTheme="majorBidi" w:cstheme="majorBidi"/>
        </w:rPr>
        <w:t>Type 2 diabetes (T2D) is a worldwide issue</w:t>
      </w:r>
      <w:r>
        <w:rPr>
          <w:color w:val="0000FF"/>
        </w:rPr>
        <w:t xml:space="preserve">. </w:t>
      </w:r>
      <w:r>
        <w:rPr>
          <w:rFonts w:asciiTheme="majorBidi" w:hAnsiTheme="majorBidi" w:cstheme="majorBidi"/>
        </w:rPr>
        <w:t>The m</w:t>
      </w:r>
      <w:r w:rsidRPr="00F1609B">
        <w:rPr>
          <w:rFonts w:asciiTheme="majorBidi" w:hAnsiTheme="majorBidi" w:cstheme="majorBidi"/>
        </w:rPr>
        <w:t>ain causes of early death resulted from cardiovascular risk factors is associated with T2D</w:t>
      </w:r>
      <w:r w:rsidR="00DF1EA4">
        <w:rPr>
          <w:rFonts w:asciiTheme="majorBidi" w:hAnsiTheme="majorBidi" w:cstheme="majorBidi"/>
        </w:rPr>
        <w:t>.</w:t>
      </w:r>
      <w:r w:rsidRPr="00F1609B">
        <w:rPr>
          <w:rFonts w:asciiTheme="majorBidi" w:hAnsiTheme="majorBidi" w:cstheme="majorBidi"/>
        </w:rPr>
        <w:t>The problem</w:t>
      </w:r>
      <w:r w:rsidR="00960DD8">
        <w:rPr>
          <w:rFonts w:asciiTheme="majorBidi" w:hAnsiTheme="majorBidi" w:cstheme="majorBidi"/>
        </w:rPr>
        <w:t>s</w:t>
      </w:r>
      <w:r w:rsidRPr="00F1609B">
        <w:rPr>
          <w:rFonts w:asciiTheme="majorBidi" w:hAnsiTheme="majorBidi" w:cstheme="majorBidi"/>
        </w:rPr>
        <w:t xml:space="preserve"> associated with T2D is life threatening</w:t>
      </w:r>
      <w:r w:rsidRPr="00A14E8A">
        <w:rPr>
          <w:rFonts w:asciiTheme="majorBidi" w:hAnsiTheme="majorBidi" w:cstheme="majorBidi"/>
        </w:rPr>
        <w:t>.</w:t>
      </w:r>
      <w:r w:rsidRPr="00A14E8A">
        <w:rPr>
          <w:rFonts w:asciiTheme="majorBidi" w:hAnsiTheme="majorBidi" w:cstheme="majorBidi"/>
          <w:color w:val="0000FF"/>
        </w:rPr>
        <w:t xml:space="preserve"> </w:t>
      </w:r>
      <w:r w:rsidR="00960DD8">
        <w:rPr>
          <w:rFonts w:asciiTheme="majorBidi" w:hAnsiTheme="majorBidi" w:cstheme="majorBidi"/>
          <w:color w:val="000000"/>
        </w:rPr>
        <w:t>In this review of the evidence</w:t>
      </w:r>
      <w:r w:rsidR="00A14E8A" w:rsidRPr="00A14E8A">
        <w:rPr>
          <w:rFonts w:asciiTheme="majorBidi" w:hAnsiTheme="majorBidi" w:cstheme="majorBidi"/>
          <w:color w:val="000000"/>
        </w:rPr>
        <w:t xml:space="preserve"> </w:t>
      </w:r>
      <w:r w:rsidR="00641A5B" w:rsidRPr="00A14E8A">
        <w:rPr>
          <w:rFonts w:asciiTheme="majorBidi" w:hAnsiTheme="majorBidi" w:cstheme="majorBidi"/>
          <w:color w:val="000000"/>
        </w:rPr>
        <w:t>support</w:t>
      </w:r>
      <w:r w:rsidR="00641A5B">
        <w:rPr>
          <w:rFonts w:asciiTheme="majorBidi" w:hAnsiTheme="majorBidi" w:cstheme="majorBidi"/>
          <w:color w:val="000000"/>
        </w:rPr>
        <w:t>ing</w:t>
      </w:r>
      <w:r w:rsidR="00A14E8A" w:rsidRPr="00A14E8A">
        <w:rPr>
          <w:rFonts w:asciiTheme="majorBidi" w:hAnsiTheme="majorBidi" w:cstheme="majorBidi"/>
          <w:color w:val="000000"/>
        </w:rPr>
        <w:t xml:space="preserve"> the us</w:t>
      </w:r>
      <w:r w:rsidR="00960DD8">
        <w:rPr>
          <w:rFonts w:asciiTheme="majorBidi" w:hAnsiTheme="majorBidi" w:cstheme="majorBidi"/>
          <w:color w:val="000000"/>
        </w:rPr>
        <w:t>e of olive oil for managing T2D, s</w:t>
      </w:r>
      <w:r w:rsidR="00960DD8">
        <w:rPr>
          <w:rFonts w:asciiTheme="majorBidi" w:hAnsiTheme="majorBidi" w:cstheme="majorBidi"/>
        </w:rPr>
        <w:t>coping s</w:t>
      </w:r>
      <w:r w:rsidR="00DF1EA4" w:rsidRPr="00F1609B">
        <w:rPr>
          <w:rFonts w:asciiTheme="majorBidi" w:hAnsiTheme="majorBidi" w:cstheme="majorBidi"/>
        </w:rPr>
        <w:t xml:space="preserve">earches were undertaken using different websites and databases including Cochrane </w:t>
      </w:r>
      <w:r w:rsidR="00960DD8">
        <w:rPr>
          <w:rFonts w:asciiTheme="majorBidi" w:hAnsiTheme="majorBidi" w:cstheme="majorBidi"/>
        </w:rPr>
        <w:t xml:space="preserve">Databases, PubMed and EBESCO. The </w:t>
      </w:r>
      <w:r w:rsidR="00DF1EA4">
        <w:rPr>
          <w:rFonts w:asciiTheme="majorBidi" w:hAnsiTheme="majorBidi" w:cstheme="majorBidi"/>
        </w:rPr>
        <w:t>main</w:t>
      </w:r>
      <w:r w:rsidR="00DF1EA4" w:rsidRPr="00F1609B">
        <w:rPr>
          <w:rFonts w:asciiTheme="majorBidi" w:hAnsiTheme="majorBidi" w:cstheme="majorBidi"/>
        </w:rPr>
        <w:t xml:space="preserve"> keywords used during search</w:t>
      </w:r>
      <w:r w:rsidR="00960DD8">
        <w:rPr>
          <w:rFonts w:asciiTheme="majorBidi" w:hAnsiTheme="majorBidi" w:cstheme="majorBidi"/>
        </w:rPr>
        <w:t xml:space="preserve"> were </w:t>
      </w:r>
      <w:r w:rsidR="00960DD8">
        <w:rPr>
          <w:rFonts w:asciiTheme="majorBidi" w:hAnsiTheme="majorBidi" w:cstheme="majorBidi"/>
        </w:rPr>
        <w:t>"o</w:t>
      </w:r>
      <w:r w:rsidR="00960DD8" w:rsidRPr="00F1609B">
        <w:rPr>
          <w:rFonts w:asciiTheme="majorBidi" w:hAnsiTheme="majorBidi" w:cstheme="majorBidi"/>
        </w:rPr>
        <w:t>live oil</w:t>
      </w:r>
      <w:r w:rsidR="00960DD8">
        <w:rPr>
          <w:rFonts w:asciiTheme="majorBidi" w:hAnsiTheme="majorBidi" w:cstheme="majorBidi"/>
        </w:rPr>
        <w:t>"</w:t>
      </w:r>
      <w:r w:rsidR="00960DD8" w:rsidRPr="00F1609B">
        <w:rPr>
          <w:rFonts w:asciiTheme="majorBidi" w:hAnsiTheme="majorBidi" w:cstheme="majorBidi"/>
        </w:rPr>
        <w:t xml:space="preserve"> and </w:t>
      </w:r>
      <w:r w:rsidR="00960DD8">
        <w:rPr>
          <w:rFonts w:asciiTheme="majorBidi" w:hAnsiTheme="majorBidi" w:cstheme="majorBidi"/>
        </w:rPr>
        <w:t>"</w:t>
      </w:r>
      <w:r w:rsidR="00960DD8" w:rsidRPr="00F1609B">
        <w:rPr>
          <w:rFonts w:asciiTheme="majorBidi" w:hAnsiTheme="majorBidi" w:cstheme="majorBidi"/>
        </w:rPr>
        <w:t>type 2 diabetes</w:t>
      </w:r>
      <w:r w:rsidR="00960DD8">
        <w:rPr>
          <w:rFonts w:asciiTheme="majorBidi" w:hAnsiTheme="majorBidi" w:cstheme="majorBidi"/>
        </w:rPr>
        <w:t xml:space="preserve">." </w:t>
      </w:r>
      <w:r w:rsidR="00DF1EA4">
        <w:rPr>
          <w:rFonts w:asciiTheme="majorBidi" w:hAnsiTheme="majorBidi" w:cstheme="majorBidi"/>
        </w:rPr>
        <w:t>T</w:t>
      </w:r>
      <w:r w:rsidR="00DF1EA4" w:rsidRPr="00F1609B">
        <w:rPr>
          <w:rFonts w:asciiTheme="majorBidi" w:hAnsiTheme="majorBidi" w:cstheme="majorBidi"/>
        </w:rPr>
        <w:t>he association between olive oil</w:t>
      </w:r>
      <w:r w:rsidR="00960DD8">
        <w:rPr>
          <w:rFonts w:asciiTheme="majorBidi" w:hAnsiTheme="majorBidi" w:cstheme="majorBidi"/>
        </w:rPr>
        <w:t xml:space="preserve"> consumption</w:t>
      </w:r>
      <w:r w:rsidR="00DF1EA4" w:rsidRPr="00F1609B">
        <w:rPr>
          <w:rFonts w:asciiTheme="majorBidi" w:hAnsiTheme="majorBidi" w:cstheme="majorBidi"/>
        </w:rPr>
        <w:t xml:space="preserve"> and T2D</w:t>
      </w:r>
      <w:r w:rsidR="00DF1EA4">
        <w:rPr>
          <w:rFonts w:asciiTheme="majorBidi" w:hAnsiTheme="majorBidi" w:cstheme="majorBidi"/>
        </w:rPr>
        <w:t xml:space="preserve"> </w:t>
      </w:r>
      <w:r w:rsidR="00960DD8">
        <w:rPr>
          <w:rFonts w:asciiTheme="majorBidi" w:hAnsiTheme="majorBidi" w:cstheme="majorBidi"/>
        </w:rPr>
        <w:t>was</w:t>
      </w:r>
      <w:r w:rsidR="00DF1EA4">
        <w:rPr>
          <w:rFonts w:asciiTheme="majorBidi" w:hAnsiTheme="majorBidi" w:cstheme="majorBidi"/>
        </w:rPr>
        <w:t xml:space="preserve"> examined.</w:t>
      </w:r>
      <w:r w:rsidR="00DF1EA4">
        <w:rPr>
          <w:color w:val="0000FF"/>
        </w:rPr>
        <w:t xml:space="preserve"> </w:t>
      </w:r>
      <w:r w:rsidRPr="003348FE">
        <w:t xml:space="preserve">Olive oil </w:t>
      </w:r>
      <w:r w:rsidR="00EB4814" w:rsidRPr="003348FE">
        <w:t xml:space="preserve">has been shown to </w:t>
      </w:r>
      <w:r w:rsidR="00960DD8">
        <w:t>improve</w:t>
      </w:r>
      <w:r w:rsidRPr="003348FE">
        <w:t xml:space="preserve"> </w:t>
      </w:r>
      <w:r w:rsidR="00EB4814" w:rsidRPr="003348FE">
        <w:t xml:space="preserve">numerous </w:t>
      </w:r>
      <w:r w:rsidRPr="003348FE">
        <w:t>cardiovascular risk factors</w:t>
      </w:r>
      <w:r w:rsidR="00960DD8">
        <w:t>, while</w:t>
      </w:r>
      <w:r w:rsidR="00414977" w:rsidRPr="003348FE">
        <w:t xml:space="preserve"> controlling blood sugar</w:t>
      </w:r>
      <w:r w:rsidR="00960DD8">
        <w:t xml:space="preserve"> level and preventing T2D </w:t>
      </w:r>
      <w:r w:rsidR="00414977" w:rsidRPr="003348FE">
        <w:t>complication</w:t>
      </w:r>
      <w:r w:rsidR="00960DD8">
        <w:t>s</w:t>
      </w:r>
      <w:r w:rsidRPr="003348FE">
        <w:t>.</w:t>
      </w:r>
      <w:r w:rsidR="00414977" w:rsidRPr="003348FE">
        <w:rPr>
          <w:rFonts w:asciiTheme="majorBidi" w:hAnsiTheme="majorBidi" w:cstheme="majorBidi"/>
        </w:rPr>
        <w:t xml:space="preserve"> </w:t>
      </w:r>
      <w:r w:rsidR="00960DD8">
        <w:rPr>
          <w:rFonts w:asciiTheme="majorBidi" w:hAnsiTheme="majorBidi" w:cstheme="majorBidi"/>
        </w:rPr>
        <w:t>Olive oil consumption among T2D patients</w:t>
      </w:r>
      <w:r w:rsidRPr="00F1609B">
        <w:rPr>
          <w:rFonts w:asciiTheme="majorBidi" w:hAnsiTheme="majorBidi" w:cstheme="majorBidi"/>
        </w:rPr>
        <w:t xml:space="preserve"> </w:t>
      </w:r>
      <w:r w:rsidR="00960DD8">
        <w:rPr>
          <w:rFonts w:asciiTheme="majorBidi" w:hAnsiTheme="majorBidi" w:cstheme="majorBidi"/>
        </w:rPr>
        <w:t>compared</w:t>
      </w:r>
      <w:r w:rsidRPr="00F1609B">
        <w:rPr>
          <w:rFonts w:asciiTheme="majorBidi" w:hAnsiTheme="majorBidi" w:cstheme="majorBidi"/>
        </w:rPr>
        <w:t xml:space="preserve"> to non-consumption of olive oil</w:t>
      </w:r>
      <w:r w:rsidR="00960DD8">
        <w:rPr>
          <w:rFonts w:asciiTheme="majorBidi" w:hAnsiTheme="majorBidi" w:cstheme="majorBidi"/>
        </w:rPr>
        <w:t>,</w:t>
      </w:r>
      <w:r w:rsidRPr="00F1609B">
        <w:rPr>
          <w:rFonts w:asciiTheme="majorBidi" w:hAnsiTheme="majorBidi" w:cstheme="majorBidi"/>
        </w:rPr>
        <w:t xml:space="preserve"> and its effects on blood glucose</w:t>
      </w:r>
      <w:r w:rsidR="004928AF">
        <w:rPr>
          <w:rFonts w:asciiTheme="majorBidi" w:hAnsiTheme="majorBidi" w:cstheme="majorBidi"/>
        </w:rPr>
        <w:t xml:space="preserve"> level need</w:t>
      </w:r>
      <w:r w:rsidRPr="00F1609B">
        <w:rPr>
          <w:rFonts w:asciiTheme="majorBidi" w:hAnsiTheme="majorBidi" w:cstheme="majorBidi"/>
        </w:rPr>
        <w:t xml:space="preserve"> further explanation. Theref</w:t>
      </w:r>
      <w:r w:rsidR="00AB5414">
        <w:rPr>
          <w:rFonts w:asciiTheme="majorBidi" w:hAnsiTheme="majorBidi" w:cstheme="majorBidi"/>
        </w:rPr>
        <w:t>ore, the aim of this</w:t>
      </w:r>
      <w:r w:rsidR="004928AF">
        <w:rPr>
          <w:rFonts w:asciiTheme="majorBidi" w:hAnsiTheme="majorBidi" w:cstheme="majorBidi"/>
        </w:rPr>
        <w:t xml:space="preserve"> review</w:t>
      </w:r>
      <w:r w:rsidR="00AB5414">
        <w:rPr>
          <w:rFonts w:asciiTheme="majorBidi" w:hAnsiTheme="majorBidi" w:cstheme="majorBidi"/>
        </w:rPr>
        <w:t xml:space="preserve"> is </w:t>
      </w:r>
      <w:r w:rsidR="004928AF">
        <w:rPr>
          <w:rFonts w:asciiTheme="majorBidi" w:hAnsiTheme="majorBidi" w:cstheme="majorBidi"/>
        </w:rPr>
        <w:t>to develop a protocol and</w:t>
      </w:r>
      <w:r w:rsidR="00AB5414" w:rsidRPr="00F1609B">
        <w:rPr>
          <w:rFonts w:asciiTheme="majorBidi" w:hAnsiTheme="majorBidi" w:cstheme="majorBidi"/>
        </w:rPr>
        <w:t xml:space="preserve"> provide recommendations for managing T2D in adult</w:t>
      </w:r>
      <w:r w:rsidR="004928AF">
        <w:rPr>
          <w:rFonts w:asciiTheme="majorBidi" w:hAnsiTheme="majorBidi" w:cstheme="majorBidi"/>
        </w:rPr>
        <w:t>s,</w:t>
      </w:r>
      <w:r w:rsidR="00AB5414" w:rsidRPr="00F1609B">
        <w:rPr>
          <w:rFonts w:asciiTheme="majorBidi" w:hAnsiTheme="majorBidi" w:cstheme="majorBidi"/>
        </w:rPr>
        <w:t xml:space="preserve"> focusing on </w:t>
      </w:r>
      <w:r w:rsidR="0029381C">
        <w:rPr>
          <w:rFonts w:asciiTheme="majorBidi" w:hAnsiTheme="majorBidi" w:cstheme="majorBidi"/>
        </w:rPr>
        <w:t>daily</w:t>
      </w:r>
      <w:r w:rsidR="00AB5414" w:rsidRPr="00F1609B">
        <w:rPr>
          <w:rFonts w:asciiTheme="majorBidi" w:hAnsiTheme="majorBidi" w:cstheme="majorBidi"/>
        </w:rPr>
        <w:t xml:space="preserve"> olive oil</w:t>
      </w:r>
      <w:r w:rsidR="004928AF">
        <w:rPr>
          <w:rFonts w:asciiTheme="majorBidi" w:hAnsiTheme="majorBidi" w:cstheme="majorBidi"/>
        </w:rPr>
        <w:t xml:space="preserve"> consumption</w:t>
      </w:r>
      <w:r w:rsidR="00AB5414" w:rsidRPr="00F1609B">
        <w:rPr>
          <w:rFonts w:asciiTheme="majorBidi" w:hAnsiTheme="majorBidi" w:cstheme="majorBidi"/>
        </w:rPr>
        <w:t xml:space="preserve"> to control blood glucose level and prevent T2D complications.</w:t>
      </w:r>
      <w:r w:rsidR="00AB5414">
        <w:rPr>
          <w:rFonts w:asciiTheme="majorBidi" w:hAnsiTheme="majorBidi" w:cstheme="majorBidi"/>
        </w:rPr>
        <w:t xml:space="preserve"> </w:t>
      </w:r>
      <w:r w:rsidR="004928AF">
        <w:rPr>
          <w:rFonts w:asciiTheme="majorBidi" w:hAnsiTheme="majorBidi" w:cstheme="majorBidi"/>
        </w:rPr>
        <w:t>The Evidence Base-Practice (</w:t>
      </w:r>
      <w:r w:rsidR="00AB5414">
        <w:rPr>
          <w:rFonts w:asciiTheme="majorBidi" w:hAnsiTheme="majorBidi" w:cstheme="majorBidi"/>
        </w:rPr>
        <w:t>EBP</w:t>
      </w:r>
      <w:r w:rsidR="004928AF">
        <w:rPr>
          <w:rFonts w:asciiTheme="majorBidi" w:hAnsiTheme="majorBidi" w:cstheme="majorBidi"/>
        </w:rPr>
        <w:t>)</w:t>
      </w:r>
      <w:r w:rsidR="00AB5414">
        <w:rPr>
          <w:rFonts w:asciiTheme="majorBidi" w:hAnsiTheme="majorBidi" w:cstheme="majorBidi"/>
        </w:rPr>
        <w:t xml:space="preserve"> guidelines include:</w:t>
      </w:r>
      <w:r w:rsidR="00EB4814">
        <w:rPr>
          <w:rFonts w:asciiTheme="majorBidi" w:hAnsiTheme="majorBidi" w:cstheme="majorBidi"/>
        </w:rPr>
        <w:t xml:space="preserve"> assessment </w:t>
      </w:r>
      <w:r w:rsidR="004928AF">
        <w:rPr>
          <w:rFonts w:asciiTheme="majorBidi" w:hAnsiTheme="majorBidi" w:cstheme="majorBidi"/>
        </w:rPr>
        <w:t xml:space="preserve">of </w:t>
      </w:r>
      <w:r w:rsidR="00EB4814">
        <w:rPr>
          <w:rFonts w:asciiTheme="majorBidi" w:hAnsiTheme="majorBidi" w:cstheme="majorBidi"/>
        </w:rPr>
        <w:t>diet</w:t>
      </w:r>
      <w:r w:rsidR="00A24291">
        <w:rPr>
          <w:rFonts w:asciiTheme="majorBidi" w:hAnsiTheme="majorBidi" w:cstheme="majorBidi"/>
        </w:rPr>
        <w:t xml:space="preserve"> consumption</w:t>
      </w:r>
      <w:r w:rsidR="00414977">
        <w:rPr>
          <w:rFonts w:asciiTheme="majorBidi" w:hAnsiTheme="majorBidi" w:cstheme="majorBidi"/>
        </w:rPr>
        <w:t>, plan of implementation</w:t>
      </w:r>
      <w:r w:rsidR="00EB4814">
        <w:rPr>
          <w:rFonts w:asciiTheme="majorBidi" w:hAnsiTheme="majorBidi" w:cstheme="majorBidi"/>
        </w:rPr>
        <w:t xml:space="preserve"> and patients' education</w:t>
      </w:r>
      <w:r w:rsidR="00A24291">
        <w:rPr>
          <w:rFonts w:asciiTheme="majorBidi" w:hAnsiTheme="majorBidi" w:cstheme="majorBidi"/>
        </w:rPr>
        <w:t>.</w:t>
      </w:r>
      <w:r w:rsidR="00AB3C77" w:rsidRPr="00AB3C77">
        <w:rPr>
          <w:rFonts w:asciiTheme="majorBidi" w:hAnsiTheme="majorBidi" w:cstheme="majorBidi"/>
        </w:rPr>
        <w:t xml:space="preserve"> </w:t>
      </w:r>
      <w:r w:rsidR="00AB3C77" w:rsidRPr="00F1609B">
        <w:rPr>
          <w:rFonts w:asciiTheme="majorBidi" w:hAnsiTheme="majorBidi" w:cstheme="majorBidi"/>
        </w:rPr>
        <w:t>This policy ap</w:t>
      </w:r>
      <w:r w:rsidR="0029381C">
        <w:rPr>
          <w:rFonts w:asciiTheme="majorBidi" w:hAnsiTheme="majorBidi" w:cstheme="majorBidi"/>
        </w:rPr>
        <w:t xml:space="preserve">plies to </w:t>
      </w:r>
      <w:r w:rsidR="00AB3C77">
        <w:rPr>
          <w:rFonts w:asciiTheme="majorBidi" w:hAnsiTheme="majorBidi" w:cstheme="majorBidi"/>
        </w:rPr>
        <w:t>adult (aged 18 or older</w:t>
      </w:r>
      <w:r w:rsidR="00AB3C77" w:rsidRPr="00F1609B">
        <w:rPr>
          <w:rFonts w:asciiTheme="majorBidi" w:hAnsiTheme="majorBidi" w:cstheme="majorBidi"/>
        </w:rPr>
        <w:t>)</w:t>
      </w:r>
      <w:r w:rsidR="0029381C">
        <w:rPr>
          <w:rFonts w:asciiTheme="majorBidi" w:hAnsiTheme="majorBidi" w:cstheme="majorBidi"/>
        </w:rPr>
        <w:t xml:space="preserve"> type 2 diabetic patients and</w:t>
      </w:r>
      <w:r w:rsidR="00AB3C77" w:rsidRPr="00F1609B">
        <w:rPr>
          <w:rFonts w:asciiTheme="majorBidi" w:hAnsiTheme="majorBidi" w:cstheme="majorBidi"/>
        </w:rPr>
        <w:t xml:space="preserve"> excludes type 1 diabetic patients and children.</w:t>
      </w:r>
      <w:r w:rsidR="00AB3C77">
        <w:rPr>
          <w:rFonts w:asciiTheme="majorBidi" w:hAnsiTheme="majorBidi" w:cstheme="majorBidi"/>
        </w:rPr>
        <w:t xml:space="preserve"> </w:t>
      </w:r>
      <w:r w:rsidR="00DF1EA4">
        <w:rPr>
          <w:rFonts w:asciiTheme="majorBidi" w:hAnsiTheme="majorBidi" w:cstheme="majorBidi"/>
        </w:rPr>
        <w:t>The</w:t>
      </w:r>
      <w:r w:rsidR="00A24291">
        <w:rPr>
          <w:rFonts w:asciiTheme="majorBidi" w:hAnsiTheme="majorBidi" w:cstheme="majorBidi"/>
        </w:rPr>
        <w:t xml:space="preserve"> suggested guidelines will decrease </w:t>
      </w:r>
      <w:r w:rsidR="0029381C">
        <w:rPr>
          <w:rFonts w:asciiTheme="majorBidi" w:hAnsiTheme="majorBidi" w:cstheme="majorBidi"/>
        </w:rPr>
        <w:t xml:space="preserve">the </w:t>
      </w:r>
      <w:r w:rsidR="00A24291">
        <w:rPr>
          <w:rFonts w:asciiTheme="majorBidi" w:hAnsiTheme="majorBidi" w:cstheme="majorBidi"/>
        </w:rPr>
        <w:t>le</w:t>
      </w:r>
      <w:r w:rsidR="0029381C">
        <w:rPr>
          <w:rFonts w:asciiTheme="majorBidi" w:hAnsiTheme="majorBidi" w:cstheme="majorBidi"/>
        </w:rPr>
        <w:t xml:space="preserve">vel of blood sugar and weight, </w:t>
      </w:r>
      <w:r w:rsidR="00A24291">
        <w:rPr>
          <w:rFonts w:asciiTheme="majorBidi" w:hAnsiTheme="majorBidi" w:cstheme="majorBidi"/>
        </w:rPr>
        <w:t>prevent T2D complication</w:t>
      </w:r>
      <w:r w:rsidR="0029381C">
        <w:rPr>
          <w:rFonts w:asciiTheme="majorBidi" w:hAnsiTheme="majorBidi" w:cstheme="majorBidi"/>
        </w:rPr>
        <w:t>s</w:t>
      </w:r>
      <w:r w:rsidR="00A24291">
        <w:rPr>
          <w:rFonts w:asciiTheme="majorBidi" w:hAnsiTheme="majorBidi" w:cstheme="majorBidi"/>
        </w:rPr>
        <w:t>,</w:t>
      </w:r>
      <w:r w:rsidR="0029381C">
        <w:rPr>
          <w:rFonts w:asciiTheme="majorBidi" w:hAnsiTheme="majorBidi" w:cstheme="majorBidi"/>
        </w:rPr>
        <w:t xml:space="preserve"> improve lipid profiles and lower</w:t>
      </w:r>
      <w:r w:rsidR="00A24291">
        <w:rPr>
          <w:rFonts w:asciiTheme="majorBidi" w:hAnsiTheme="majorBidi" w:cstheme="majorBidi"/>
        </w:rPr>
        <w:t xml:space="preserve"> cost</w:t>
      </w:r>
      <w:r w:rsidR="0029381C">
        <w:rPr>
          <w:rFonts w:asciiTheme="majorBidi" w:hAnsiTheme="majorBidi" w:cstheme="majorBidi"/>
        </w:rPr>
        <w:t>s</w:t>
      </w:r>
      <w:r w:rsidR="00A24291">
        <w:rPr>
          <w:rFonts w:asciiTheme="majorBidi" w:hAnsiTheme="majorBidi" w:cstheme="majorBidi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05012A" w:rsidP="0029381C">
      <w:pPr>
        <w:jc w:val="both"/>
      </w:pPr>
      <w:proofErr w:type="spellStart"/>
      <w:r>
        <w:t>Abeer</w:t>
      </w:r>
      <w:proofErr w:type="spellEnd"/>
      <w:r w:rsidR="0029381C">
        <w:t xml:space="preserve"> has </w:t>
      </w:r>
      <w:r w:rsidR="00D841B1">
        <w:t xml:space="preserve">completed </w:t>
      </w:r>
      <w:r w:rsidR="003348FE">
        <w:t>her</w:t>
      </w:r>
      <w:r w:rsidR="00D841B1">
        <w:t xml:space="preserve"> </w:t>
      </w:r>
      <w:r w:rsidR="003348FE">
        <w:t xml:space="preserve">BSN </w:t>
      </w:r>
      <w:r w:rsidR="0029381C">
        <w:t>at</w:t>
      </w:r>
      <w:r w:rsidR="00D841B1">
        <w:t xml:space="preserve"> </w:t>
      </w:r>
      <w:r w:rsidR="003348FE">
        <w:t>King Khalid University</w:t>
      </w:r>
      <w:r>
        <w:t xml:space="preserve"> (KKU)</w:t>
      </w:r>
      <w:r w:rsidR="003348FE">
        <w:t xml:space="preserve">, </w:t>
      </w:r>
      <w:proofErr w:type="spellStart"/>
      <w:r w:rsidR="003348FE">
        <w:t>Abha</w:t>
      </w:r>
      <w:proofErr w:type="spellEnd"/>
      <w:r w:rsidR="003348FE">
        <w:t xml:space="preserve">, </w:t>
      </w:r>
      <w:r>
        <w:t>Saudi Arabia,</w:t>
      </w:r>
      <w:r w:rsidR="003348FE">
        <w:t xml:space="preserve"> and </w:t>
      </w:r>
      <w:r w:rsidR="0029381C">
        <w:t xml:space="preserve">is </w:t>
      </w:r>
      <w:r w:rsidR="003348FE">
        <w:t xml:space="preserve">currently </w:t>
      </w:r>
      <w:r w:rsidR="0029381C">
        <w:t xml:space="preserve">an </w:t>
      </w:r>
      <w:r w:rsidR="003348FE">
        <w:t>MSN student at Indiana University of Pennsylvania</w:t>
      </w:r>
      <w:r>
        <w:t>, PA, USA</w:t>
      </w:r>
      <w:r w:rsidR="003348FE">
        <w:t xml:space="preserve">. </w:t>
      </w:r>
      <w:r>
        <w:t>She</w:t>
      </w:r>
      <w:r w:rsidR="003348FE">
        <w:t xml:space="preserve"> has worked as </w:t>
      </w:r>
      <w:r w:rsidR="0029381C">
        <w:t>a clinical i</w:t>
      </w:r>
      <w:r w:rsidR="003348FE">
        <w:t xml:space="preserve">nstructor </w:t>
      </w:r>
      <w:r>
        <w:t xml:space="preserve">in nursing school at KKU.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5012A"/>
    <w:rsid w:val="00074C9C"/>
    <w:rsid w:val="00077DFE"/>
    <w:rsid w:val="000D6718"/>
    <w:rsid w:val="001B06AE"/>
    <w:rsid w:val="00265E72"/>
    <w:rsid w:val="0029381C"/>
    <w:rsid w:val="002C359D"/>
    <w:rsid w:val="002C3D9B"/>
    <w:rsid w:val="0031455A"/>
    <w:rsid w:val="003348FE"/>
    <w:rsid w:val="00363668"/>
    <w:rsid w:val="00384441"/>
    <w:rsid w:val="003A3C5A"/>
    <w:rsid w:val="00414977"/>
    <w:rsid w:val="00437503"/>
    <w:rsid w:val="00441F91"/>
    <w:rsid w:val="004928AF"/>
    <w:rsid w:val="004E62DD"/>
    <w:rsid w:val="004F0441"/>
    <w:rsid w:val="005B4B32"/>
    <w:rsid w:val="00641A5B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40141"/>
    <w:rsid w:val="00960DD8"/>
    <w:rsid w:val="009E52D9"/>
    <w:rsid w:val="00A14E8A"/>
    <w:rsid w:val="00A24291"/>
    <w:rsid w:val="00A34773"/>
    <w:rsid w:val="00A4183E"/>
    <w:rsid w:val="00A50C1E"/>
    <w:rsid w:val="00A67093"/>
    <w:rsid w:val="00AA5A30"/>
    <w:rsid w:val="00AB3C77"/>
    <w:rsid w:val="00AB5414"/>
    <w:rsid w:val="00AC5543"/>
    <w:rsid w:val="00AF61EB"/>
    <w:rsid w:val="00B03DB8"/>
    <w:rsid w:val="00B17C38"/>
    <w:rsid w:val="00B44878"/>
    <w:rsid w:val="00B72421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B61E1"/>
    <w:rsid w:val="00DC433A"/>
    <w:rsid w:val="00DF1EA4"/>
    <w:rsid w:val="00E63452"/>
    <w:rsid w:val="00EB4814"/>
    <w:rsid w:val="00ED2B89"/>
    <w:rsid w:val="00F10B48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rokn</cp:lastModifiedBy>
  <cp:revision>2</cp:revision>
  <dcterms:created xsi:type="dcterms:W3CDTF">2016-08-12T19:04:00Z</dcterms:created>
  <dcterms:modified xsi:type="dcterms:W3CDTF">2016-08-12T19:04:00Z</dcterms:modified>
</cp:coreProperties>
</file>