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E0D1FB" w14:textId="2B325D00" w:rsidR="00982FD0" w:rsidRDefault="00595429">
      <w:r>
        <w:t>ABSTRACT</w:t>
      </w:r>
    </w:p>
    <w:p w14:paraId="7ACAE8F3" w14:textId="0AB2B66A" w:rsidR="00485B6A" w:rsidRPr="00303EEE" w:rsidRDefault="00595429">
      <w:pPr>
        <w:rPr>
          <w:b/>
          <w:bCs/>
        </w:rPr>
      </w:pPr>
      <w:r w:rsidRPr="009F22C2">
        <w:rPr>
          <w:b/>
          <w:bCs/>
        </w:rPr>
        <w:t>Improving the detrimental health consequences of Vitamin D deficiency in elderly patients receiving long-term prescription of anti-epileptic medication and lipid-lowering (statins) medication.</w:t>
      </w:r>
    </w:p>
    <w:p w14:paraId="1C959667" w14:textId="0AFB5192" w:rsidR="00485B6A" w:rsidRPr="00303EEE" w:rsidRDefault="00485B6A">
      <w:pPr>
        <w:rPr>
          <w:i/>
          <w:iCs/>
        </w:rPr>
      </w:pPr>
      <w:r w:rsidRPr="00303EEE">
        <w:rPr>
          <w:i/>
          <w:iCs/>
        </w:rPr>
        <w:t>Harvard Medical School Post Graduate Education Safety, Quality, Informatics and Leadership (SCQIL) 1-year program (2020-2021) Capstone research project</w:t>
      </w:r>
      <w:r w:rsidR="00F02C48">
        <w:rPr>
          <w:i/>
          <w:iCs/>
        </w:rPr>
        <w:t>.</w:t>
      </w:r>
    </w:p>
    <w:p w14:paraId="5AEDBB74" w14:textId="3817B292" w:rsidR="00595429" w:rsidRDefault="00303EEE">
      <w:r w:rsidRPr="00303EEE">
        <w:rPr>
          <w:b/>
          <w:bCs/>
        </w:rPr>
        <w:t>Background:</w:t>
      </w:r>
      <w:r>
        <w:t xml:space="preserve"> </w:t>
      </w:r>
      <w:r w:rsidR="00595429">
        <w:t xml:space="preserve">Disease may cause malnutrition and malnutrition may cause disease. Long-term prescribed medicine may cause malnutrition and disease. This interconnected triad complex of malnutrition, disease and prescribed medication has a negative outcome not limited to patient safety and quality of patient </w:t>
      </w:r>
      <w:r w:rsidR="003A5626">
        <w:t>care,</w:t>
      </w:r>
      <w:r w:rsidR="00595429">
        <w:t xml:space="preserve"> but it also results in billions of Pounds wasted and ultimately putting strain on healthcare costs and resources in the United Kingdom.</w:t>
      </w:r>
    </w:p>
    <w:p w14:paraId="002A61A9" w14:textId="197291AA" w:rsidR="00944D79" w:rsidRPr="00E52F36" w:rsidRDefault="00944D79">
      <w:pPr>
        <w:contextualSpacing/>
        <w:rPr>
          <w:rFonts w:cstheme="minorHAnsi"/>
        </w:rPr>
      </w:pPr>
      <w:r w:rsidRPr="00E52F36">
        <w:rPr>
          <w:rFonts w:cstheme="minorHAnsi"/>
        </w:rPr>
        <w:t>The health problem that needs to be addressed is that drug-nutrient interactions causing malnutrition (nutrient deficiencies) receive very little attention from national health authorities, clinicians, pharmacists, medical school pharmacology departments, and pharmaceutical companies, despite the debilitating morbidity and mortality linked to prescribed medicine-induced malnutrition and disease, particularly in the elderly over 65 years of age. To the contrary, the focus is on side-effects and complications caused by drugs and drug-drug interactions.</w:t>
      </w:r>
    </w:p>
    <w:p w14:paraId="5B4AEBB1" w14:textId="77777777" w:rsidR="00944D79" w:rsidRPr="00944D79" w:rsidRDefault="00944D79">
      <w:pPr>
        <w:contextualSpacing/>
        <w:rPr>
          <w:rFonts w:cstheme="minorHAnsi"/>
          <w:sz w:val="22"/>
          <w:szCs w:val="22"/>
        </w:rPr>
      </w:pPr>
    </w:p>
    <w:p w14:paraId="0B90E30A" w14:textId="1D318DEA" w:rsidR="009F22C2" w:rsidRDefault="00595429">
      <w:r>
        <w:t>Vitamin D deficiency is a global pandemic dilemma</w:t>
      </w:r>
      <w:r w:rsidR="000D53EC">
        <w:t xml:space="preserve"> and &gt; 30% </w:t>
      </w:r>
      <w:r w:rsidR="00612A04">
        <w:t>o</w:t>
      </w:r>
      <w:r w:rsidR="000D53EC">
        <w:t>f adults are reported as having low 25(OH)D levels and an even higher prevalence in elderly patients &gt; 65 years without compromised renal function. Vitamin D deficiency is a possible aetiological factor in several chronic debilitating conditions associated with high risk of morbidity and mortality including cardio-vascular diseases, autoimmune diseases, inflammatory bowel disease, immune deficiency, upper respiratory tract infections, malignancies, osteoporosis, type 1 and 2 diabetes mellitus, statin-intolerance and neurodegenerative disorder e.g., Alzheimer’s disease</w:t>
      </w:r>
      <w:r w:rsidR="00E52F36">
        <w:t>. Vitamin D deficiency is also associated with statin-intolerance.</w:t>
      </w:r>
    </w:p>
    <w:p w14:paraId="77E1D169" w14:textId="77777777" w:rsidR="008F11F6" w:rsidRDefault="009F22C2">
      <w:r>
        <w:t xml:space="preserve">Epilepsy is the most common neurological disorder affecting approximately 50 million people worldwide. </w:t>
      </w:r>
      <w:r w:rsidR="000D53EC">
        <w:t>By the year 2037 it is estimated that 24% of the UK population will be over 65 years of age. However, from the age of 60 years the incidence of epilep</w:t>
      </w:r>
      <w:r>
        <w:t>sy increases sharply and results in increased healthcare costs not only due to prescribed anti-epileptic drugs (AEDs) but even more importantly due to AEDs-induced Vitamin D deficiency morbidity and mortality</w:t>
      </w:r>
      <w:r w:rsidR="00F94445">
        <w:t xml:space="preserve">. </w:t>
      </w:r>
      <w:r w:rsidR="00303EEE">
        <w:t>Despite the widespread use of AEDs in the elderly there is limited information available on their kinetics in this age group and no formal practical guidelines for the management of bone disease among those taking AEDs.</w:t>
      </w:r>
      <w:r w:rsidR="00F94445">
        <w:t xml:space="preserve"> </w:t>
      </w:r>
    </w:p>
    <w:p w14:paraId="01CFDDED" w14:textId="684CEF69" w:rsidR="00BA6A35" w:rsidRPr="00BA6A35" w:rsidRDefault="00306FC4">
      <w:r>
        <w:t xml:space="preserve">The main aim is </w:t>
      </w:r>
      <w:r w:rsidR="008F11F6">
        <w:t xml:space="preserve">either </w:t>
      </w:r>
      <w:r>
        <w:t xml:space="preserve">alternative AEDs prescribing or deprescribing of AEDs that are strongly related to Vitamin </w:t>
      </w:r>
      <w:r w:rsidR="00612A04">
        <w:t>D</w:t>
      </w:r>
      <w:r>
        <w:t xml:space="preserve"> deficiency by </w:t>
      </w:r>
      <w:r w:rsidR="000B7919">
        <w:t>5</w:t>
      </w:r>
      <w:r>
        <w:t xml:space="preserve">0% over </w:t>
      </w:r>
      <w:r w:rsidR="008F11F6">
        <w:t>a 12-month period</w:t>
      </w:r>
      <w:r>
        <w:t xml:space="preserve">. The secondary aim is to prescribe Vitamin D supplementation to patients who </w:t>
      </w:r>
      <w:r w:rsidR="008F11F6">
        <w:t xml:space="preserve">are Vitamin D deficient and for those patients who are </w:t>
      </w:r>
      <w:r>
        <w:t>statin-intolerance</w:t>
      </w:r>
      <w:r w:rsidR="00612A04">
        <w:t>.</w:t>
      </w:r>
    </w:p>
    <w:p w14:paraId="4BF6154B" w14:textId="08A00EA5" w:rsidR="000B7919" w:rsidRDefault="00595429">
      <w:r w:rsidRPr="00303EEE">
        <w:rPr>
          <w:b/>
          <w:bCs/>
        </w:rPr>
        <w:lastRenderedPageBreak/>
        <w:t>Methods:</w:t>
      </w:r>
      <w:r w:rsidR="00303EEE">
        <w:rPr>
          <w:b/>
          <w:bCs/>
        </w:rPr>
        <w:t xml:space="preserve"> </w:t>
      </w:r>
      <w:r w:rsidR="00944D79">
        <w:t>Proposing</w:t>
      </w:r>
      <w:r w:rsidR="00F02C48" w:rsidRPr="00BB73D5">
        <w:t xml:space="preserve"> </w:t>
      </w:r>
      <w:r w:rsidR="00BB73D5" w:rsidRPr="00BB73D5">
        <w:t xml:space="preserve">a </w:t>
      </w:r>
      <w:r w:rsidR="00F02C48" w:rsidRPr="00BB73D5">
        <w:t>pilot</w:t>
      </w:r>
      <w:r w:rsidR="00F02C48" w:rsidRPr="00F02C48">
        <w:t xml:space="preserve"> study </w:t>
      </w:r>
      <w:r w:rsidR="00F02C48">
        <w:t>u</w:t>
      </w:r>
      <w:r w:rsidR="00314360" w:rsidRPr="00F02C48">
        <w:t>sing</w:t>
      </w:r>
      <w:r w:rsidR="00314360" w:rsidRPr="00314360">
        <w:t xml:space="preserve"> </w:t>
      </w:r>
      <w:r w:rsidR="00F94445" w:rsidRPr="00314360">
        <w:t>data collection</w:t>
      </w:r>
      <w:r w:rsidR="00F94445" w:rsidRPr="00F94445">
        <w:t xml:space="preserve"> in</w:t>
      </w:r>
      <w:r w:rsidR="00F94445">
        <w:t>str</w:t>
      </w:r>
      <w:r w:rsidR="00F94445" w:rsidRPr="00F94445">
        <w:t>uments</w:t>
      </w:r>
      <w:r w:rsidR="00F02C48">
        <w:t xml:space="preserve">, </w:t>
      </w:r>
      <w:r w:rsidR="00BA6A35">
        <w:t xml:space="preserve">electronic </w:t>
      </w:r>
      <w:r w:rsidR="00F02C48">
        <w:t>health</w:t>
      </w:r>
      <w:r w:rsidR="00BA6A35">
        <w:t xml:space="preserve"> records</w:t>
      </w:r>
      <w:r w:rsidR="00F02C48">
        <w:t xml:space="preserve"> (EHRs)</w:t>
      </w:r>
      <w:r w:rsidR="00F94445">
        <w:t xml:space="preserve"> in one </w:t>
      </w:r>
      <w:r w:rsidR="000857ED">
        <w:t xml:space="preserve">NHS </w:t>
      </w:r>
      <w:r w:rsidR="00F94445">
        <w:t>Family Practice Clinic and two Community Pharmacies in a U</w:t>
      </w:r>
      <w:r w:rsidR="00944D79">
        <w:t xml:space="preserve">nited </w:t>
      </w:r>
      <w:r w:rsidR="00F94445">
        <w:t>K</w:t>
      </w:r>
      <w:r w:rsidR="00944D79">
        <w:t>ingdom</w:t>
      </w:r>
      <w:r w:rsidR="00F94445">
        <w:t xml:space="preserve"> N</w:t>
      </w:r>
      <w:r w:rsidR="00944D79">
        <w:t xml:space="preserve">ational </w:t>
      </w:r>
      <w:r w:rsidR="00F94445">
        <w:t>H</w:t>
      </w:r>
      <w:r w:rsidR="00944D79">
        <w:t xml:space="preserve">ealth </w:t>
      </w:r>
      <w:r w:rsidR="00F94445">
        <w:t>S</w:t>
      </w:r>
      <w:r w:rsidR="00944D79">
        <w:t xml:space="preserve">ervice </w:t>
      </w:r>
      <w:r w:rsidR="00F94445">
        <w:t xml:space="preserve">Trust </w:t>
      </w:r>
      <w:r w:rsidR="00314360">
        <w:t>to</w:t>
      </w:r>
      <w:r w:rsidR="00F94445">
        <w:t xml:space="preserve"> identify elderly patients </w:t>
      </w:r>
      <w:r w:rsidR="00314360">
        <w:t xml:space="preserve">who are </w:t>
      </w:r>
      <w:r w:rsidR="00F94445">
        <w:t xml:space="preserve">at risk </w:t>
      </w:r>
      <w:r w:rsidR="00314360">
        <w:t xml:space="preserve">from </w:t>
      </w:r>
      <w:r w:rsidR="00F94445">
        <w:t xml:space="preserve">receiving long-term prescription AEDs. </w:t>
      </w:r>
    </w:p>
    <w:p w14:paraId="279EB7C7" w14:textId="518BAE4D" w:rsidR="008F11F6" w:rsidRPr="009B6112" w:rsidRDefault="00F02C48">
      <w:r w:rsidRPr="00F02C48">
        <w:t xml:space="preserve">Anticipated </w:t>
      </w:r>
      <w:r>
        <w:t xml:space="preserve">challenges and </w:t>
      </w:r>
      <w:r w:rsidRPr="00F02C48">
        <w:t xml:space="preserve">barriers </w:t>
      </w:r>
      <w:r>
        <w:t xml:space="preserve">include </w:t>
      </w:r>
      <w:r w:rsidR="008F11F6">
        <w:rPr>
          <w:rFonts w:ascii="Arial" w:hAnsi="Arial" w:cs="Arial"/>
          <w:color w:val="000000"/>
          <w:sz w:val="22"/>
          <w:szCs w:val="22"/>
          <w:lang w:val="en-US"/>
        </w:rPr>
        <w:t xml:space="preserve">assembling </w:t>
      </w:r>
      <w:r w:rsidR="008F11F6" w:rsidRPr="00355838">
        <w:rPr>
          <w:rFonts w:ascii="Arial" w:hAnsi="Arial" w:cs="Arial"/>
          <w:color w:val="000000"/>
          <w:sz w:val="22"/>
          <w:szCs w:val="22"/>
          <w:lang w:val="en-US"/>
        </w:rPr>
        <w:t>a multidisciplinary care team to assess and provide timely interventions</w:t>
      </w:r>
      <w:r w:rsidR="008F11F6">
        <w:rPr>
          <w:rFonts w:ascii="Arial" w:hAnsi="Arial" w:cs="Arial"/>
          <w:color w:val="000000"/>
          <w:sz w:val="22"/>
          <w:szCs w:val="22"/>
          <w:lang w:val="en-US"/>
        </w:rPr>
        <w:t>,</w:t>
      </w:r>
      <w:r w:rsidR="008F11F6">
        <w:t xml:space="preserve"> </w:t>
      </w:r>
      <w:r w:rsidR="000857ED">
        <w:t xml:space="preserve">obtaining funding for </w:t>
      </w:r>
      <w:r>
        <w:t xml:space="preserve">costly </w:t>
      </w:r>
      <w:r w:rsidR="007D47FC">
        <w:t xml:space="preserve">additional </w:t>
      </w:r>
      <w:r>
        <w:t>screening consultations and laboratory investigations enabling e</w:t>
      </w:r>
      <w:r w:rsidRPr="00F02C48">
        <w:t>arly</w:t>
      </w:r>
      <w:r w:rsidRPr="00314360">
        <w:t xml:space="preserve"> identification of patients at risk</w:t>
      </w:r>
      <w:r>
        <w:t xml:space="preserve"> of developing osteoporosis, statin-intolerance and incident type 2 diabetes mellitus, implementing a new clinical pathway during the Covid-19 pandemic, patients with Intellectual disability, poor literacy, language barriers and patient apprehension.</w:t>
      </w:r>
      <w:r w:rsidR="008F11F6">
        <w:t xml:space="preserve"> </w:t>
      </w:r>
      <w:r w:rsidR="008F11F6" w:rsidRPr="008F11F6">
        <w:rPr>
          <w:rFonts w:cstheme="minorHAnsi"/>
        </w:rPr>
        <w:t xml:space="preserve">Strategies to overcome barriers </w:t>
      </w:r>
      <w:r w:rsidR="008F11F6">
        <w:rPr>
          <w:rFonts w:cstheme="minorHAnsi"/>
        </w:rPr>
        <w:t xml:space="preserve">that can make complex elderly care more manageable </w:t>
      </w:r>
      <w:r w:rsidR="008F11F6" w:rsidRPr="008F11F6">
        <w:rPr>
          <w:rFonts w:cstheme="minorHAnsi"/>
        </w:rPr>
        <w:t xml:space="preserve">include </w:t>
      </w:r>
      <w:r w:rsidR="008F11F6">
        <w:rPr>
          <w:rFonts w:cstheme="minorHAnsi"/>
          <w:color w:val="000000"/>
        </w:rPr>
        <w:t>the</w:t>
      </w:r>
      <w:r w:rsidR="008F11F6" w:rsidRPr="008F11F6">
        <w:rPr>
          <w:rFonts w:cstheme="minorHAnsi"/>
          <w:color w:val="000000"/>
        </w:rPr>
        <w:t xml:space="preserve"> 4Ms — What Matters, Medication, Mentation, and Mobility</w:t>
      </w:r>
      <w:r w:rsidR="008F11F6">
        <w:rPr>
          <w:rFonts w:cstheme="minorHAnsi"/>
          <w:color w:val="000000"/>
        </w:rPr>
        <w:t>.</w:t>
      </w:r>
    </w:p>
    <w:p w14:paraId="1B3DA678" w14:textId="676FF789" w:rsidR="000B7919" w:rsidRPr="000B7919" w:rsidRDefault="008F11F6">
      <w:pPr>
        <w:rPr>
          <w:b/>
          <w:bCs/>
        </w:rPr>
      </w:pPr>
      <w:r w:rsidRPr="008F11F6">
        <w:t xml:space="preserve">Sustainability depends on the </w:t>
      </w:r>
      <w:r w:rsidRPr="008F11F6">
        <w:rPr>
          <w:rFonts w:ascii="Arial" w:hAnsi="Arial" w:cs="Arial"/>
          <w:color w:val="000000" w:themeColor="text1"/>
          <w:sz w:val="22"/>
          <w:szCs w:val="22"/>
          <w:lang w:val="en-CA"/>
        </w:rPr>
        <w:t>study design, given</w:t>
      </w:r>
      <w:r w:rsidRPr="00355838">
        <w:rPr>
          <w:rFonts w:ascii="Arial" w:hAnsi="Arial" w:cs="Arial"/>
          <w:color w:val="000000" w:themeColor="text1"/>
          <w:sz w:val="22"/>
          <w:szCs w:val="22"/>
          <w:lang w:val="en-CA"/>
        </w:rPr>
        <w:t xml:space="preserve"> the lack of a direct comparator group</w:t>
      </w:r>
      <w:r>
        <w:rPr>
          <w:rFonts w:ascii="Arial" w:hAnsi="Arial" w:cs="Arial"/>
          <w:color w:val="000000" w:themeColor="text1"/>
          <w:sz w:val="22"/>
          <w:szCs w:val="22"/>
          <w:lang w:val="en-CA"/>
        </w:rPr>
        <w:t>,</w:t>
      </w:r>
      <w:r w:rsidRPr="00355838">
        <w:rPr>
          <w:rFonts w:ascii="Arial" w:hAnsi="Arial" w:cs="Arial"/>
          <w:color w:val="000000" w:themeColor="text1"/>
          <w:sz w:val="22"/>
          <w:szCs w:val="22"/>
          <w:lang w:val="en-CA"/>
        </w:rPr>
        <w:t xml:space="preserve"> and potentially finding low literacy might interfere with implementing the intervention.</w:t>
      </w:r>
    </w:p>
    <w:p w14:paraId="610B26BA" w14:textId="6DD28C64" w:rsidR="008F11F6" w:rsidRPr="008F11F6" w:rsidRDefault="009B6112" w:rsidP="008F11F6">
      <w:pPr>
        <w:autoSpaceDE w:val="0"/>
        <w:autoSpaceDN w:val="0"/>
        <w:adjustRightInd w:val="0"/>
        <w:rPr>
          <w:rFonts w:ascii="Arial" w:hAnsi="Arial" w:cs="Arial"/>
          <w:color w:val="000000" w:themeColor="text1"/>
          <w:sz w:val="22"/>
          <w:szCs w:val="22"/>
        </w:rPr>
      </w:pPr>
      <w:r w:rsidRPr="009B6112">
        <w:rPr>
          <w:rFonts w:ascii="Arial" w:hAnsi="Arial" w:cs="Arial"/>
          <w:b/>
          <w:bCs/>
          <w:color w:val="000000" w:themeColor="text1"/>
          <w:sz w:val="22"/>
          <w:szCs w:val="22"/>
        </w:rPr>
        <w:t>Results:</w:t>
      </w:r>
      <w:r>
        <w:rPr>
          <w:rFonts w:ascii="Arial" w:hAnsi="Arial" w:cs="Arial"/>
          <w:color w:val="000000" w:themeColor="text1"/>
          <w:sz w:val="22"/>
          <w:szCs w:val="22"/>
        </w:rPr>
        <w:t xml:space="preserve"> S</w:t>
      </w:r>
      <w:r w:rsidR="008F11F6" w:rsidRPr="008F11F6">
        <w:rPr>
          <w:rFonts w:ascii="Arial" w:hAnsi="Arial" w:cs="Arial"/>
          <w:color w:val="000000" w:themeColor="text1"/>
          <w:sz w:val="22"/>
          <w:szCs w:val="22"/>
        </w:rPr>
        <w:t>uccessful feasibility and scalability of this project depends on the following factors:</w:t>
      </w:r>
      <w:r>
        <w:rPr>
          <w:rFonts w:ascii="Arial" w:hAnsi="Arial" w:cs="Arial"/>
          <w:color w:val="000000" w:themeColor="text1"/>
          <w:sz w:val="22"/>
          <w:szCs w:val="22"/>
        </w:rPr>
        <w:t xml:space="preserve"> </w:t>
      </w:r>
      <w:r w:rsidR="008F11F6">
        <w:rPr>
          <w:rFonts w:ascii="Arial" w:hAnsi="Arial" w:cs="Arial"/>
          <w:color w:val="000000" w:themeColor="text1"/>
          <w:sz w:val="22"/>
          <w:szCs w:val="22"/>
          <w:lang w:val="en-CA"/>
        </w:rPr>
        <w:t>(</w:t>
      </w:r>
      <w:r w:rsidR="008F11F6" w:rsidRPr="00355838">
        <w:rPr>
          <w:rFonts w:ascii="Arial" w:hAnsi="Arial" w:cs="Arial"/>
          <w:color w:val="000000" w:themeColor="text1"/>
          <w:sz w:val="22"/>
          <w:szCs w:val="22"/>
          <w:lang w:val="en-CA"/>
        </w:rPr>
        <w:t>1</w:t>
      </w:r>
      <w:r w:rsidR="008F11F6">
        <w:rPr>
          <w:rFonts w:ascii="Arial" w:hAnsi="Arial" w:cs="Arial"/>
          <w:color w:val="000000" w:themeColor="text1"/>
          <w:sz w:val="22"/>
          <w:szCs w:val="22"/>
          <w:lang w:val="en-CA"/>
        </w:rPr>
        <w:t>)</w:t>
      </w:r>
      <w:r w:rsidR="008F11F6" w:rsidRPr="00355838">
        <w:rPr>
          <w:rFonts w:ascii="Arial" w:hAnsi="Arial" w:cs="Arial"/>
          <w:color w:val="000000" w:themeColor="text1"/>
          <w:sz w:val="22"/>
          <w:szCs w:val="22"/>
          <w:lang w:val="en-CA"/>
        </w:rPr>
        <w:t xml:space="preserve"> </w:t>
      </w:r>
      <w:r w:rsidR="008F11F6">
        <w:rPr>
          <w:rFonts w:ascii="Arial" w:hAnsi="Arial" w:cs="Arial"/>
          <w:color w:val="000000" w:themeColor="text1"/>
          <w:sz w:val="22"/>
          <w:szCs w:val="22"/>
          <w:lang w:val="en-CA"/>
        </w:rPr>
        <w:t>The importance of his project in terms of having a big enough impact in health improvement that will lead to adoption and implementation by a National Health Trust.</w:t>
      </w:r>
      <w:r w:rsidR="008F11F6">
        <w:rPr>
          <w:rFonts w:ascii="Arial" w:hAnsi="Arial" w:cs="Arial"/>
          <w:color w:val="000000" w:themeColor="text1"/>
          <w:sz w:val="22"/>
          <w:szCs w:val="22"/>
        </w:rPr>
        <w:t xml:space="preserve"> (</w:t>
      </w:r>
      <w:r w:rsidR="008F11F6" w:rsidRPr="00355838">
        <w:rPr>
          <w:rFonts w:ascii="Arial" w:hAnsi="Arial" w:cs="Arial"/>
          <w:color w:val="000000" w:themeColor="text1"/>
          <w:sz w:val="22"/>
          <w:szCs w:val="22"/>
          <w:lang w:val="en-CA"/>
        </w:rPr>
        <w:t>2</w:t>
      </w:r>
      <w:r w:rsidR="008F11F6">
        <w:rPr>
          <w:rFonts w:ascii="Arial" w:hAnsi="Arial" w:cs="Arial"/>
          <w:color w:val="000000" w:themeColor="text1"/>
          <w:sz w:val="22"/>
          <w:szCs w:val="22"/>
          <w:lang w:val="en-CA"/>
        </w:rPr>
        <w:t>)</w:t>
      </w:r>
      <w:r w:rsidR="008F11F6" w:rsidRPr="00355838">
        <w:rPr>
          <w:rFonts w:ascii="Arial" w:hAnsi="Arial" w:cs="Arial"/>
          <w:color w:val="000000" w:themeColor="text1"/>
          <w:sz w:val="22"/>
          <w:szCs w:val="22"/>
          <w:lang w:val="en-CA"/>
        </w:rPr>
        <w:t xml:space="preserve"> Education </w:t>
      </w:r>
      <w:r w:rsidR="008F11F6">
        <w:rPr>
          <w:rFonts w:ascii="Arial" w:hAnsi="Arial" w:cs="Arial"/>
          <w:color w:val="000000" w:themeColor="text1"/>
          <w:sz w:val="22"/>
          <w:szCs w:val="22"/>
          <w:lang w:val="en-CA"/>
        </w:rPr>
        <w:t xml:space="preserve">and motivation </w:t>
      </w:r>
      <w:r w:rsidR="008F11F6" w:rsidRPr="00355838">
        <w:rPr>
          <w:rFonts w:ascii="Arial" w:hAnsi="Arial" w:cs="Arial"/>
          <w:color w:val="000000" w:themeColor="text1"/>
          <w:sz w:val="22"/>
          <w:szCs w:val="22"/>
          <w:lang w:val="en-CA"/>
        </w:rPr>
        <w:t xml:space="preserve">of </w:t>
      </w:r>
      <w:r w:rsidR="008F11F6">
        <w:rPr>
          <w:rFonts w:ascii="Arial" w:hAnsi="Arial" w:cs="Arial"/>
          <w:color w:val="000000" w:themeColor="text1"/>
          <w:sz w:val="22"/>
          <w:szCs w:val="22"/>
          <w:lang w:val="en-CA"/>
        </w:rPr>
        <w:t xml:space="preserve">clinicians </w:t>
      </w:r>
      <w:r w:rsidR="008F11F6" w:rsidRPr="00355838">
        <w:rPr>
          <w:rFonts w:ascii="Arial" w:hAnsi="Arial" w:cs="Arial"/>
          <w:color w:val="000000" w:themeColor="text1"/>
          <w:sz w:val="22"/>
          <w:szCs w:val="22"/>
          <w:lang w:val="en-CA"/>
        </w:rPr>
        <w:t xml:space="preserve">and auxiliary staff is key to performing the intervention successfully and the setting up </w:t>
      </w:r>
      <w:r w:rsidR="008F11F6">
        <w:rPr>
          <w:rFonts w:ascii="Arial" w:hAnsi="Arial" w:cs="Arial"/>
          <w:color w:val="000000" w:themeColor="text1"/>
          <w:sz w:val="22"/>
          <w:szCs w:val="22"/>
          <w:lang w:val="en-CA"/>
        </w:rPr>
        <w:t xml:space="preserve">of </w:t>
      </w:r>
      <w:r w:rsidR="008F11F6" w:rsidRPr="00355838">
        <w:rPr>
          <w:rFonts w:ascii="Arial" w:hAnsi="Arial" w:cs="Arial"/>
          <w:color w:val="000000" w:themeColor="text1"/>
          <w:sz w:val="22"/>
          <w:szCs w:val="22"/>
          <w:lang w:val="en-CA"/>
        </w:rPr>
        <w:t xml:space="preserve">an outreach program </w:t>
      </w:r>
      <w:r w:rsidR="008F11F6">
        <w:rPr>
          <w:rFonts w:ascii="Arial" w:hAnsi="Arial" w:cs="Arial"/>
          <w:color w:val="000000" w:themeColor="text1"/>
          <w:sz w:val="22"/>
          <w:szCs w:val="22"/>
          <w:lang w:val="en-CA"/>
        </w:rPr>
        <w:t xml:space="preserve">in creating </w:t>
      </w:r>
      <w:r w:rsidR="008F11F6" w:rsidRPr="00355838">
        <w:rPr>
          <w:rFonts w:ascii="Arial" w:hAnsi="Arial" w:cs="Arial"/>
          <w:color w:val="000000" w:themeColor="text1"/>
          <w:sz w:val="22"/>
          <w:szCs w:val="22"/>
          <w:lang w:val="en-CA"/>
        </w:rPr>
        <w:t xml:space="preserve">awareness of the detrimental health effects </w:t>
      </w:r>
      <w:r w:rsidR="008F11F6">
        <w:rPr>
          <w:rFonts w:ascii="Arial" w:hAnsi="Arial" w:cs="Arial"/>
          <w:color w:val="000000" w:themeColor="text1"/>
          <w:sz w:val="22"/>
          <w:szCs w:val="22"/>
          <w:lang w:val="en-CA"/>
        </w:rPr>
        <w:t xml:space="preserve">of AEDs </w:t>
      </w:r>
      <w:r w:rsidR="008F11F6" w:rsidRPr="00355838">
        <w:rPr>
          <w:rFonts w:ascii="Arial" w:hAnsi="Arial" w:cs="Arial"/>
          <w:color w:val="000000" w:themeColor="text1"/>
          <w:sz w:val="22"/>
          <w:szCs w:val="22"/>
          <w:lang w:val="en-CA"/>
        </w:rPr>
        <w:t>in the elderly.</w:t>
      </w:r>
      <w:r w:rsidR="008F11F6">
        <w:rPr>
          <w:rFonts w:ascii="Arial" w:hAnsi="Arial" w:cs="Arial"/>
          <w:color w:val="000000" w:themeColor="text1"/>
          <w:sz w:val="22"/>
          <w:szCs w:val="22"/>
        </w:rPr>
        <w:t xml:space="preserve"> (</w:t>
      </w:r>
      <w:r w:rsidR="008F11F6" w:rsidRPr="00355838">
        <w:rPr>
          <w:rFonts w:ascii="Arial" w:hAnsi="Arial" w:cs="Arial"/>
          <w:color w:val="000000" w:themeColor="text1"/>
          <w:sz w:val="22"/>
          <w:szCs w:val="22"/>
          <w:lang w:val="en-CA"/>
        </w:rPr>
        <w:t>3</w:t>
      </w:r>
      <w:r w:rsidR="008F11F6">
        <w:rPr>
          <w:rFonts w:ascii="Arial" w:hAnsi="Arial" w:cs="Arial"/>
          <w:color w:val="000000" w:themeColor="text1"/>
          <w:sz w:val="22"/>
          <w:szCs w:val="22"/>
          <w:lang w:val="en-CA"/>
        </w:rPr>
        <w:t>)</w:t>
      </w:r>
      <w:r w:rsidR="008F11F6" w:rsidRPr="00355838">
        <w:rPr>
          <w:rFonts w:ascii="Arial" w:hAnsi="Arial" w:cs="Arial"/>
          <w:color w:val="000000" w:themeColor="text1"/>
          <w:sz w:val="22"/>
          <w:szCs w:val="22"/>
          <w:lang w:val="en-CA"/>
        </w:rPr>
        <w:t xml:space="preserve"> Obviously, training and </w:t>
      </w:r>
      <w:r w:rsidR="008F11F6">
        <w:rPr>
          <w:rFonts w:ascii="Arial" w:hAnsi="Arial" w:cs="Arial"/>
          <w:color w:val="000000" w:themeColor="text1"/>
          <w:sz w:val="22"/>
          <w:szCs w:val="22"/>
          <w:lang w:val="en-CA"/>
        </w:rPr>
        <w:t xml:space="preserve">IT </w:t>
      </w:r>
      <w:r w:rsidR="008F11F6" w:rsidRPr="00355838">
        <w:rPr>
          <w:rFonts w:ascii="Arial" w:hAnsi="Arial" w:cs="Arial"/>
          <w:color w:val="000000" w:themeColor="text1"/>
          <w:sz w:val="22"/>
          <w:szCs w:val="22"/>
          <w:lang w:val="en-CA"/>
        </w:rPr>
        <w:t xml:space="preserve">infrastructure (EMR alerts and order sets) are </w:t>
      </w:r>
      <w:r w:rsidR="008F11F6">
        <w:rPr>
          <w:rFonts w:ascii="Arial" w:hAnsi="Arial" w:cs="Arial"/>
          <w:color w:val="000000" w:themeColor="text1"/>
          <w:sz w:val="22"/>
          <w:szCs w:val="22"/>
          <w:lang w:val="en-CA"/>
        </w:rPr>
        <w:t xml:space="preserve">necessary components of </w:t>
      </w:r>
      <w:r w:rsidR="008F11F6" w:rsidRPr="00355838">
        <w:rPr>
          <w:rFonts w:ascii="Arial" w:hAnsi="Arial" w:cs="Arial"/>
          <w:color w:val="000000" w:themeColor="text1"/>
          <w:sz w:val="22"/>
          <w:szCs w:val="22"/>
          <w:lang w:val="en-CA"/>
        </w:rPr>
        <w:t>an effective alert system</w:t>
      </w:r>
      <w:r w:rsidR="008F11F6">
        <w:rPr>
          <w:rFonts w:ascii="Arial" w:hAnsi="Arial" w:cs="Arial"/>
          <w:color w:val="000000" w:themeColor="text1"/>
          <w:sz w:val="22"/>
          <w:szCs w:val="22"/>
          <w:lang w:val="en-CA"/>
        </w:rPr>
        <w:t xml:space="preserve"> that is mainly managed by the Superintendent Pharmacist.</w:t>
      </w:r>
      <w:r w:rsidR="008F11F6">
        <w:rPr>
          <w:rFonts w:ascii="Arial" w:hAnsi="Arial" w:cs="Arial"/>
          <w:color w:val="000000" w:themeColor="text1"/>
          <w:sz w:val="22"/>
          <w:szCs w:val="22"/>
        </w:rPr>
        <w:t xml:space="preserve"> (</w:t>
      </w:r>
      <w:r w:rsidR="008F11F6" w:rsidRPr="00355838">
        <w:rPr>
          <w:rFonts w:ascii="Arial" w:hAnsi="Arial" w:cs="Arial"/>
          <w:color w:val="000000" w:themeColor="text1"/>
          <w:sz w:val="22"/>
          <w:szCs w:val="22"/>
          <w:lang w:val="en-CA"/>
        </w:rPr>
        <w:t>4</w:t>
      </w:r>
      <w:r w:rsidR="008F11F6">
        <w:rPr>
          <w:rFonts w:ascii="Arial" w:hAnsi="Arial" w:cs="Arial"/>
          <w:color w:val="000000" w:themeColor="text1"/>
          <w:sz w:val="22"/>
          <w:szCs w:val="22"/>
          <w:lang w:val="en-CA"/>
        </w:rPr>
        <w:t>)</w:t>
      </w:r>
      <w:r w:rsidR="008F11F6" w:rsidRPr="00355838">
        <w:rPr>
          <w:rFonts w:ascii="Arial" w:hAnsi="Arial" w:cs="Arial"/>
          <w:color w:val="000000" w:themeColor="text1"/>
          <w:sz w:val="22"/>
          <w:szCs w:val="22"/>
          <w:lang w:val="en-CA"/>
        </w:rPr>
        <w:t xml:space="preserve"> </w:t>
      </w:r>
      <w:r w:rsidR="008F11F6">
        <w:rPr>
          <w:rFonts w:ascii="Arial" w:hAnsi="Arial" w:cs="Arial"/>
          <w:color w:val="000000" w:themeColor="text1"/>
          <w:sz w:val="22"/>
          <w:szCs w:val="22"/>
          <w:lang w:val="en-CA"/>
        </w:rPr>
        <w:t xml:space="preserve">In terms of </w:t>
      </w:r>
      <w:r w:rsidR="008F11F6" w:rsidRPr="00355838">
        <w:rPr>
          <w:rFonts w:ascii="Arial" w:hAnsi="Arial" w:cs="Arial"/>
          <w:color w:val="000000" w:themeColor="text1"/>
          <w:sz w:val="22"/>
          <w:szCs w:val="22"/>
          <w:lang w:val="en-CA"/>
        </w:rPr>
        <w:t xml:space="preserve">cost, </w:t>
      </w:r>
      <w:r w:rsidR="008F11F6">
        <w:rPr>
          <w:rFonts w:ascii="Arial" w:hAnsi="Arial" w:cs="Arial"/>
          <w:color w:val="000000" w:themeColor="text1"/>
          <w:sz w:val="22"/>
          <w:szCs w:val="22"/>
          <w:lang w:val="en-CA"/>
        </w:rPr>
        <w:t xml:space="preserve">a successful project </w:t>
      </w:r>
      <w:r w:rsidR="008F11F6" w:rsidRPr="00355838">
        <w:rPr>
          <w:rFonts w:ascii="Arial" w:hAnsi="Arial" w:cs="Arial"/>
          <w:color w:val="000000" w:themeColor="text1"/>
          <w:sz w:val="22"/>
          <w:szCs w:val="22"/>
          <w:lang w:val="en-CA"/>
        </w:rPr>
        <w:t xml:space="preserve">will save </w:t>
      </w:r>
      <w:r w:rsidR="008F11F6">
        <w:rPr>
          <w:rFonts w:ascii="Arial" w:hAnsi="Arial" w:cs="Arial"/>
          <w:color w:val="000000" w:themeColor="text1"/>
          <w:sz w:val="22"/>
          <w:szCs w:val="22"/>
          <w:lang w:val="en-CA"/>
        </w:rPr>
        <w:t xml:space="preserve">private </w:t>
      </w:r>
      <w:r w:rsidR="008F11F6" w:rsidRPr="00355838">
        <w:rPr>
          <w:rFonts w:ascii="Arial" w:hAnsi="Arial" w:cs="Arial"/>
          <w:color w:val="000000" w:themeColor="text1"/>
          <w:sz w:val="22"/>
          <w:szCs w:val="22"/>
          <w:lang w:val="en-CA"/>
        </w:rPr>
        <w:t>patients</w:t>
      </w:r>
      <w:r w:rsidR="008F11F6">
        <w:rPr>
          <w:rFonts w:ascii="Arial" w:hAnsi="Arial" w:cs="Arial"/>
          <w:color w:val="000000" w:themeColor="text1"/>
          <w:sz w:val="22"/>
          <w:szCs w:val="22"/>
          <w:lang w:val="en-CA"/>
        </w:rPr>
        <w:t xml:space="preserve"> with access to health insurance, </w:t>
      </w:r>
      <w:r w:rsidR="008F11F6" w:rsidRPr="00355838">
        <w:rPr>
          <w:rFonts w:ascii="Arial" w:hAnsi="Arial" w:cs="Arial"/>
          <w:color w:val="000000" w:themeColor="text1"/>
          <w:sz w:val="22"/>
          <w:szCs w:val="22"/>
          <w:lang w:val="en-CA"/>
        </w:rPr>
        <w:t xml:space="preserve">and the </w:t>
      </w:r>
      <w:r w:rsidR="008F11F6">
        <w:rPr>
          <w:rFonts w:ascii="Arial" w:hAnsi="Arial" w:cs="Arial"/>
          <w:color w:val="000000" w:themeColor="text1"/>
          <w:sz w:val="22"/>
          <w:szCs w:val="22"/>
          <w:lang w:val="en-CA"/>
        </w:rPr>
        <w:t>National H</w:t>
      </w:r>
      <w:r w:rsidR="008F11F6" w:rsidRPr="00355838">
        <w:rPr>
          <w:rFonts w:ascii="Arial" w:hAnsi="Arial" w:cs="Arial"/>
          <w:color w:val="000000" w:themeColor="text1"/>
          <w:sz w:val="22"/>
          <w:szCs w:val="22"/>
          <w:lang w:val="en-CA"/>
        </w:rPr>
        <w:t xml:space="preserve">ealthcare </w:t>
      </w:r>
      <w:r w:rsidR="008F11F6">
        <w:rPr>
          <w:rFonts w:ascii="Arial" w:hAnsi="Arial" w:cs="Arial"/>
          <w:color w:val="000000" w:themeColor="text1"/>
          <w:sz w:val="22"/>
          <w:szCs w:val="22"/>
          <w:lang w:val="en-CA"/>
        </w:rPr>
        <w:t>S</w:t>
      </w:r>
      <w:r w:rsidR="008F11F6" w:rsidRPr="00355838">
        <w:rPr>
          <w:rFonts w:ascii="Arial" w:hAnsi="Arial" w:cs="Arial"/>
          <w:color w:val="000000" w:themeColor="text1"/>
          <w:sz w:val="22"/>
          <w:szCs w:val="22"/>
          <w:lang w:val="en-CA"/>
        </w:rPr>
        <w:t>ystem</w:t>
      </w:r>
      <w:r w:rsidR="008F11F6">
        <w:rPr>
          <w:rFonts w:ascii="Arial" w:hAnsi="Arial" w:cs="Arial"/>
          <w:color w:val="000000" w:themeColor="text1"/>
          <w:sz w:val="22"/>
          <w:szCs w:val="22"/>
          <w:lang w:val="en-CA"/>
        </w:rPr>
        <w:t xml:space="preserve"> (NHS),</w:t>
      </w:r>
      <w:r w:rsidR="008F11F6" w:rsidRPr="00355838">
        <w:rPr>
          <w:rFonts w:ascii="Arial" w:hAnsi="Arial" w:cs="Arial"/>
          <w:color w:val="000000" w:themeColor="text1"/>
          <w:sz w:val="22"/>
          <w:szCs w:val="22"/>
          <w:lang w:val="en-CA"/>
        </w:rPr>
        <w:t xml:space="preserve"> money due to the reduction in unwanted </w:t>
      </w:r>
      <w:r w:rsidR="008F11F6">
        <w:rPr>
          <w:rFonts w:ascii="Arial" w:hAnsi="Arial" w:cs="Arial"/>
          <w:color w:val="000000" w:themeColor="text1"/>
          <w:sz w:val="22"/>
          <w:szCs w:val="22"/>
          <w:lang w:val="en-CA"/>
        </w:rPr>
        <w:t>morbidity.</w:t>
      </w:r>
      <w:r w:rsidR="008F11F6">
        <w:rPr>
          <w:rFonts w:ascii="Arial" w:hAnsi="Arial" w:cs="Arial"/>
          <w:color w:val="000000" w:themeColor="text1"/>
          <w:sz w:val="22"/>
          <w:szCs w:val="22"/>
        </w:rPr>
        <w:t xml:space="preserve"> (</w:t>
      </w:r>
      <w:r w:rsidR="008F11F6" w:rsidRPr="00355838">
        <w:rPr>
          <w:rFonts w:ascii="Arial" w:hAnsi="Arial" w:cs="Arial"/>
          <w:color w:val="000000" w:themeColor="text1"/>
          <w:sz w:val="22"/>
          <w:szCs w:val="22"/>
          <w:lang w:val="en-CA"/>
        </w:rPr>
        <w:t>5</w:t>
      </w:r>
      <w:r w:rsidR="008F11F6">
        <w:rPr>
          <w:rFonts w:ascii="Arial" w:hAnsi="Arial" w:cs="Arial"/>
          <w:color w:val="000000" w:themeColor="text1"/>
          <w:sz w:val="22"/>
          <w:szCs w:val="22"/>
          <w:lang w:val="en-CA"/>
        </w:rPr>
        <w:t>)</w:t>
      </w:r>
      <w:r w:rsidR="008F11F6" w:rsidRPr="00355838">
        <w:rPr>
          <w:rFonts w:ascii="Arial" w:hAnsi="Arial" w:cs="Arial"/>
          <w:color w:val="000000" w:themeColor="text1"/>
          <w:sz w:val="22"/>
          <w:szCs w:val="22"/>
          <w:lang w:val="en-CA"/>
        </w:rPr>
        <w:t xml:space="preserve"> As regards the system, once it's programmed, it will be easily implemented, and data can be collated, analysed and feedback provided by pharmacists.</w:t>
      </w:r>
    </w:p>
    <w:p w14:paraId="75E9EE2D" w14:textId="77777777" w:rsidR="000857ED" w:rsidRDefault="008F11F6" w:rsidP="008F11F6">
      <w:pPr>
        <w:autoSpaceDE w:val="0"/>
        <w:autoSpaceDN w:val="0"/>
        <w:adjustRightInd w:val="0"/>
        <w:rPr>
          <w:rFonts w:ascii="Arial" w:hAnsi="Arial" w:cs="Arial"/>
          <w:color w:val="000000"/>
          <w:sz w:val="22"/>
          <w:szCs w:val="22"/>
        </w:rPr>
      </w:pPr>
      <w:r w:rsidRPr="00355838">
        <w:rPr>
          <w:rFonts w:ascii="Arial" w:hAnsi="Arial" w:cs="Arial"/>
          <w:color w:val="000000"/>
          <w:sz w:val="22"/>
          <w:szCs w:val="22"/>
        </w:rPr>
        <w:t>The goal is escalating this project on a United Kingdom nation-wide National Healthcare System level</w:t>
      </w:r>
      <w:r>
        <w:rPr>
          <w:rFonts w:ascii="Arial" w:hAnsi="Arial" w:cs="Arial"/>
          <w:color w:val="000000"/>
          <w:sz w:val="22"/>
          <w:szCs w:val="22"/>
        </w:rPr>
        <w:t>.</w:t>
      </w:r>
      <w:r w:rsidRPr="00355838">
        <w:rPr>
          <w:rFonts w:ascii="Arial" w:hAnsi="Arial" w:cs="Arial"/>
          <w:color w:val="000000"/>
          <w:sz w:val="22"/>
          <w:szCs w:val="22"/>
        </w:rPr>
        <w:t xml:space="preserve"> </w:t>
      </w:r>
      <w:r>
        <w:rPr>
          <w:rFonts w:ascii="Arial" w:hAnsi="Arial" w:cs="Arial"/>
          <w:color w:val="000000"/>
          <w:sz w:val="22"/>
          <w:szCs w:val="22"/>
        </w:rPr>
        <w:tab/>
      </w:r>
    </w:p>
    <w:p w14:paraId="47EF5CE9" w14:textId="2A63286A" w:rsidR="000857ED" w:rsidRDefault="000857ED" w:rsidP="008F11F6">
      <w:pPr>
        <w:autoSpaceDE w:val="0"/>
        <w:autoSpaceDN w:val="0"/>
        <w:adjustRightInd w:val="0"/>
        <w:rPr>
          <w:rFonts w:ascii="Arial" w:hAnsi="Arial" w:cs="Arial"/>
          <w:color w:val="000000"/>
          <w:sz w:val="22"/>
          <w:szCs w:val="22"/>
        </w:rPr>
      </w:pPr>
      <w:r w:rsidRPr="00355838">
        <w:rPr>
          <w:rFonts w:ascii="Arial" w:hAnsi="Arial" w:cs="Arial"/>
          <w:sz w:val="22"/>
          <w:szCs w:val="22"/>
        </w:rPr>
        <w:fldChar w:fldCharType="begin"/>
      </w:r>
      <w:r w:rsidRPr="00355838">
        <w:rPr>
          <w:rFonts w:ascii="Arial" w:hAnsi="Arial" w:cs="Arial"/>
          <w:sz w:val="22"/>
          <w:szCs w:val="22"/>
        </w:rPr>
        <w:instrText xml:space="preserve"> INCLUDEPICTURE "https://www.oatext.com/img/JTS-6-378-g001.gif" \* MERGEFORMATINET </w:instrText>
      </w:r>
      <w:r w:rsidRPr="00355838">
        <w:rPr>
          <w:rFonts w:ascii="Arial" w:hAnsi="Arial" w:cs="Arial"/>
          <w:sz w:val="22"/>
          <w:szCs w:val="22"/>
        </w:rPr>
        <w:fldChar w:fldCharType="separate"/>
      </w:r>
      <w:r w:rsidRPr="00355838">
        <w:rPr>
          <w:rFonts w:ascii="Arial" w:hAnsi="Arial" w:cs="Arial"/>
          <w:noProof/>
          <w:sz w:val="22"/>
          <w:szCs w:val="22"/>
        </w:rPr>
        <w:drawing>
          <wp:inline distT="0" distB="0" distL="0" distR="0" wp14:anchorId="39122BEC" wp14:editId="2D8CF9FC">
            <wp:extent cx="5283058" cy="3051544"/>
            <wp:effectExtent l="0" t="0" r="635" b="0"/>
            <wp:docPr id="2" name="Picture 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schematic&#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82290" cy="3282144"/>
                    </a:xfrm>
                    <a:prstGeom prst="rect">
                      <a:avLst/>
                    </a:prstGeom>
                    <a:noFill/>
                    <a:ln>
                      <a:noFill/>
                    </a:ln>
                  </pic:spPr>
                </pic:pic>
              </a:graphicData>
            </a:graphic>
          </wp:inline>
        </w:drawing>
      </w:r>
      <w:r w:rsidRPr="00355838">
        <w:rPr>
          <w:rFonts w:ascii="Arial" w:hAnsi="Arial" w:cs="Arial"/>
          <w:sz w:val="22"/>
          <w:szCs w:val="22"/>
        </w:rPr>
        <w:fldChar w:fldCharType="end"/>
      </w:r>
      <w:r w:rsidR="008F11F6">
        <w:rPr>
          <w:rFonts w:ascii="Arial" w:hAnsi="Arial" w:cs="Arial"/>
          <w:color w:val="000000"/>
          <w:sz w:val="22"/>
          <w:szCs w:val="22"/>
        </w:rPr>
        <w:tab/>
      </w:r>
    </w:p>
    <w:p w14:paraId="6B389684" w14:textId="69FC24E3" w:rsidR="000857ED" w:rsidRDefault="000857ED" w:rsidP="008F11F6">
      <w:pPr>
        <w:autoSpaceDE w:val="0"/>
        <w:autoSpaceDN w:val="0"/>
        <w:adjustRightInd w:val="0"/>
        <w:rPr>
          <w:rFonts w:ascii="Arial" w:hAnsi="Arial" w:cs="Arial"/>
          <w:color w:val="000000"/>
          <w:sz w:val="22"/>
          <w:szCs w:val="22"/>
        </w:rPr>
      </w:pPr>
      <w:r w:rsidRPr="009F566B">
        <w:rPr>
          <w:rFonts w:ascii="Arial" w:hAnsi="Arial" w:cs="Arial"/>
          <w:noProof/>
          <w:sz w:val="22"/>
          <w:szCs w:val="22"/>
        </w:rPr>
        <w:lastRenderedPageBreak/>
        <w:drawing>
          <wp:inline distT="0" distB="0" distL="0" distR="0" wp14:anchorId="091FFFDF" wp14:editId="0C1712CD">
            <wp:extent cx="5550195" cy="6953693"/>
            <wp:effectExtent l="0" t="0" r="0" b="6350"/>
            <wp:docPr id="10" name="Content Placeholder 3" descr="A picture containing diagram&#10;&#10;Description automatically generated">
              <a:extLst xmlns:a="http://schemas.openxmlformats.org/drawingml/2006/main">
                <a:ext uri="{FF2B5EF4-FFF2-40B4-BE49-F238E27FC236}">
                  <a16:creationId xmlns:a16="http://schemas.microsoft.com/office/drawing/2014/main" id="{95AEAFE8-EB1E-8242-870C-3EF31360BC84}"/>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descr="A picture containing diagram&#10;&#10;Description automatically generated">
                      <a:extLst>
                        <a:ext uri="{FF2B5EF4-FFF2-40B4-BE49-F238E27FC236}">
                          <a16:creationId xmlns:a16="http://schemas.microsoft.com/office/drawing/2014/main" id="{95AEAFE8-EB1E-8242-870C-3EF31360BC84}"/>
                        </a:ext>
                      </a:extLst>
                    </pic:cNvPr>
                    <pic:cNvPicPr>
                      <a:picLocks noGrp="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41208" cy="7193008"/>
                    </a:xfrm>
                    <a:prstGeom prst="rect">
                      <a:avLst/>
                    </a:prstGeom>
                  </pic:spPr>
                </pic:pic>
              </a:graphicData>
            </a:graphic>
          </wp:inline>
        </w:drawing>
      </w:r>
    </w:p>
    <w:p w14:paraId="2F7910A9" w14:textId="77777777" w:rsidR="000857ED" w:rsidRDefault="000857ED" w:rsidP="008F11F6">
      <w:pPr>
        <w:autoSpaceDE w:val="0"/>
        <w:autoSpaceDN w:val="0"/>
        <w:adjustRightInd w:val="0"/>
        <w:rPr>
          <w:rFonts w:ascii="Arial" w:hAnsi="Arial" w:cs="Arial"/>
          <w:color w:val="000000"/>
          <w:sz w:val="22"/>
          <w:szCs w:val="22"/>
        </w:rPr>
      </w:pPr>
    </w:p>
    <w:p w14:paraId="3A4EAF28" w14:textId="77777777" w:rsidR="000857ED" w:rsidRDefault="000857ED" w:rsidP="008F11F6">
      <w:pPr>
        <w:autoSpaceDE w:val="0"/>
        <w:autoSpaceDN w:val="0"/>
        <w:adjustRightInd w:val="0"/>
        <w:rPr>
          <w:rFonts w:ascii="Arial" w:hAnsi="Arial" w:cs="Arial"/>
          <w:color w:val="000000"/>
          <w:sz w:val="22"/>
          <w:szCs w:val="22"/>
        </w:rPr>
      </w:pPr>
    </w:p>
    <w:p w14:paraId="2E739C5F" w14:textId="390207A2" w:rsidR="000857ED" w:rsidRDefault="000857ED" w:rsidP="008F11F6">
      <w:pPr>
        <w:autoSpaceDE w:val="0"/>
        <w:autoSpaceDN w:val="0"/>
        <w:adjustRightInd w:val="0"/>
        <w:rPr>
          <w:rFonts w:ascii="Arial" w:hAnsi="Arial" w:cs="Arial"/>
          <w:color w:val="000000"/>
          <w:sz w:val="22"/>
          <w:szCs w:val="22"/>
        </w:rPr>
      </w:pPr>
    </w:p>
    <w:p w14:paraId="304946D1" w14:textId="77777777" w:rsidR="000857ED" w:rsidRDefault="000857ED" w:rsidP="008F11F6">
      <w:pPr>
        <w:autoSpaceDE w:val="0"/>
        <w:autoSpaceDN w:val="0"/>
        <w:adjustRightInd w:val="0"/>
        <w:rPr>
          <w:rFonts w:ascii="Arial" w:hAnsi="Arial" w:cs="Arial"/>
          <w:color w:val="000000"/>
          <w:sz w:val="22"/>
          <w:szCs w:val="22"/>
        </w:rPr>
      </w:pPr>
    </w:p>
    <w:p w14:paraId="431319CB" w14:textId="77777777" w:rsidR="000857ED" w:rsidRDefault="000857ED" w:rsidP="008F11F6">
      <w:pPr>
        <w:autoSpaceDE w:val="0"/>
        <w:autoSpaceDN w:val="0"/>
        <w:adjustRightInd w:val="0"/>
        <w:rPr>
          <w:rFonts w:ascii="Arial" w:hAnsi="Arial" w:cs="Arial"/>
          <w:color w:val="000000"/>
          <w:sz w:val="22"/>
          <w:szCs w:val="22"/>
        </w:rPr>
      </w:pPr>
    </w:p>
    <w:p w14:paraId="4DDB1D34" w14:textId="4A139DF1" w:rsidR="000857ED" w:rsidRDefault="000857ED" w:rsidP="008F11F6">
      <w:pPr>
        <w:autoSpaceDE w:val="0"/>
        <w:autoSpaceDN w:val="0"/>
        <w:adjustRightInd w:val="0"/>
        <w:rPr>
          <w:rFonts w:ascii="Arial" w:hAnsi="Arial" w:cs="Arial"/>
          <w:color w:val="000000"/>
          <w:sz w:val="22"/>
          <w:szCs w:val="22"/>
        </w:rPr>
      </w:pPr>
      <w:r w:rsidRPr="00355838">
        <w:rPr>
          <w:rFonts w:ascii="Arial" w:hAnsi="Arial" w:cs="Arial"/>
          <w:sz w:val="22"/>
          <w:szCs w:val="22"/>
        </w:rPr>
        <w:lastRenderedPageBreak/>
        <w:fldChar w:fldCharType="begin"/>
      </w:r>
      <w:r w:rsidRPr="00355838">
        <w:rPr>
          <w:rFonts w:ascii="Arial" w:hAnsi="Arial" w:cs="Arial"/>
          <w:sz w:val="22"/>
          <w:szCs w:val="22"/>
        </w:rPr>
        <w:instrText xml:space="preserve"> INCLUDEPICTURE "http://www.ihi.org/Engage/Initiatives/Age-Friendly-Health-Systems/PublishingImages/Pages/default/4Ms-Framework-of-an-Age-Friendly-Health-System_descriptions.png" \* MERGEFORMATINET </w:instrText>
      </w:r>
      <w:r w:rsidRPr="00355838">
        <w:rPr>
          <w:rFonts w:ascii="Arial" w:hAnsi="Arial" w:cs="Arial"/>
          <w:sz w:val="22"/>
          <w:szCs w:val="22"/>
        </w:rPr>
        <w:fldChar w:fldCharType="separate"/>
      </w:r>
      <w:r w:rsidRPr="00355838">
        <w:rPr>
          <w:rFonts w:ascii="Arial" w:hAnsi="Arial" w:cs="Arial"/>
          <w:noProof/>
          <w:sz w:val="22"/>
          <w:szCs w:val="22"/>
        </w:rPr>
        <w:drawing>
          <wp:inline distT="0" distB="0" distL="0" distR="0" wp14:anchorId="6D9EFDEA" wp14:editId="72B79D2C">
            <wp:extent cx="6344575" cy="4295553"/>
            <wp:effectExtent l="0" t="0" r="5715" b="0"/>
            <wp:docPr id="5" name="Picture 5"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ubble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34740" cy="4762825"/>
                    </a:xfrm>
                    <a:prstGeom prst="rect">
                      <a:avLst/>
                    </a:prstGeom>
                    <a:noFill/>
                    <a:ln>
                      <a:noFill/>
                    </a:ln>
                  </pic:spPr>
                </pic:pic>
              </a:graphicData>
            </a:graphic>
          </wp:inline>
        </w:drawing>
      </w:r>
      <w:r w:rsidRPr="00355838">
        <w:rPr>
          <w:rFonts w:ascii="Arial" w:hAnsi="Arial" w:cs="Arial"/>
          <w:sz w:val="22"/>
          <w:szCs w:val="22"/>
        </w:rPr>
        <w:fldChar w:fldCharType="end"/>
      </w:r>
    </w:p>
    <w:p w14:paraId="0863D552" w14:textId="77777777" w:rsidR="00A55C83" w:rsidRPr="00355838" w:rsidRDefault="00A55C83" w:rsidP="00A55C83">
      <w:pPr>
        <w:autoSpaceDE w:val="0"/>
        <w:autoSpaceDN w:val="0"/>
        <w:adjustRightInd w:val="0"/>
        <w:rPr>
          <w:rFonts w:ascii="Arial" w:hAnsi="Arial" w:cs="Arial"/>
          <w:b/>
          <w:bCs/>
          <w:color w:val="000000" w:themeColor="text1"/>
          <w:sz w:val="22"/>
          <w:szCs w:val="22"/>
        </w:rPr>
      </w:pPr>
      <w:r>
        <w:rPr>
          <w:rFonts w:ascii="Arial" w:hAnsi="Arial" w:cs="Arial"/>
          <w:b/>
          <w:bCs/>
          <w:color w:val="000000" w:themeColor="text1"/>
          <w:sz w:val="22"/>
          <w:szCs w:val="22"/>
        </w:rPr>
        <w:t>Bibliography</w:t>
      </w:r>
    </w:p>
    <w:p w14:paraId="78FB5831" w14:textId="77777777" w:rsidR="00A55C83" w:rsidRPr="00355838" w:rsidRDefault="00A55C83" w:rsidP="00A55C83">
      <w:pPr>
        <w:rPr>
          <w:rFonts w:ascii="Arial" w:hAnsi="Arial" w:cs="Arial"/>
          <w:sz w:val="22"/>
          <w:szCs w:val="22"/>
        </w:rPr>
      </w:pPr>
    </w:p>
    <w:p w14:paraId="5D7352D9" w14:textId="77777777" w:rsidR="00A55C83" w:rsidRPr="004E7FEF" w:rsidRDefault="00A55C83" w:rsidP="00A55C83">
      <w:pPr>
        <w:rPr>
          <w:rFonts w:ascii="Arial" w:hAnsi="Arial" w:cs="Arial"/>
          <w:color w:val="000000"/>
          <w:sz w:val="22"/>
          <w:szCs w:val="22"/>
        </w:rPr>
      </w:pPr>
      <w:r w:rsidRPr="00355838">
        <w:rPr>
          <w:rFonts w:ascii="Arial" w:hAnsi="Arial" w:cs="Arial"/>
          <w:sz w:val="22"/>
          <w:szCs w:val="22"/>
        </w:rPr>
        <w:t>“Age-Friendly Health Systems: Guide to Using the 4Ms in the Care of Older Adults”, July 2020</w:t>
      </w:r>
      <w:r>
        <w:rPr>
          <w:rFonts w:ascii="Arial" w:hAnsi="Arial" w:cs="Arial"/>
          <w:color w:val="000000"/>
          <w:sz w:val="22"/>
          <w:szCs w:val="22"/>
        </w:rPr>
        <w:t xml:space="preserve">, </w:t>
      </w:r>
      <w:r w:rsidRPr="00355838">
        <w:rPr>
          <w:rFonts w:ascii="Arial" w:hAnsi="Arial" w:cs="Arial"/>
          <w:sz w:val="22"/>
          <w:szCs w:val="22"/>
        </w:rPr>
        <w:t xml:space="preserve">Institute for Healthcare Improvement • ihi.org </w:t>
      </w:r>
    </w:p>
    <w:p w14:paraId="2C3E4332"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http://www.ihi.org/Engage/Initiatives/Age-Friendly-Health-Systems/Documents/IHIAgeFriendlyHealthSystems_GuidetoUsing4MsCare.pdf</w:t>
      </w:r>
    </w:p>
    <w:p w14:paraId="6BA4B25F" w14:textId="77777777" w:rsidR="00A55C83" w:rsidRPr="00355838" w:rsidRDefault="00A55C83" w:rsidP="00A55C83">
      <w:pPr>
        <w:autoSpaceDE w:val="0"/>
        <w:autoSpaceDN w:val="0"/>
        <w:adjustRightInd w:val="0"/>
        <w:contextualSpacing/>
        <w:rPr>
          <w:rFonts w:ascii="Arial" w:hAnsi="Arial" w:cs="Arial"/>
          <w:sz w:val="22"/>
          <w:szCs w:val="22"/>
        </w:rPr>
      </w:pPr>
    </w:p>
    <w:p w14:paraId="285BE538"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Arora E, Singh H, Gupta YK. “Impact of antiepileptic drugs on bone health: Need for monitoring, treatment, and prevention strategies”, J Family Med Prim Care 2016;5:248-53</w:t>
      </w:r>
    </w:p>
    <w:p w14:paraId="68754ED0" w14:textId="77777777" w:rsidR="00A55C83" w:rsidRPr="00355838" w:rsidRDefault="00A55C83" w:rsidP="00A55C83">
      <w:pPr>
        <w:autoSpaceDE w:val="0"/>
        <w:autoSpaceDN w:val="0"/>
        <w:adjustRightInd w:val="0"/>
        <w:contextualSpacing/>
        <w:rPr>
          <w:rFonts w:ascii="Arial" w:hAnsi="Arial" w:cs="Arial"/>
          <w:sz w:val="22"/>
          <w:szCs w:val="22"/>
        </w:rPr>
      </w:pPr>
    </w:p>
    <w:p w14:paraId="775D679D"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“Atlas of Epilepsies”, Springer Science and Business Media LLC, 2010</w:t>
      </w:r>
    </w:p>
    <w:p w14:paraId="555CDB02" w14:textId="77777777" w:rsidR="00A55C83" w:rsidRPr="00355838" w:rsidRDefault="00A55C83" w:rsidP="00A55C83">
      <w:pPr>
        <w:autoSpaceDE w:val="0"/>
        <w:autoSpaceDN w:val="0"/>
        <w:adjustRightInd w:val="0"/>
        <w:contextualSpacing/>
        <w:rPr>
          <w:rFonts w:ascii="Arial" w:hAnsi="Arial" w:cs="Arial"/>
          <w:sz w:val="22"/>
          <w:szCs w:val="22"/>
        </w:rPr>
      </w:pPr>
    </w:p>
    <w:p w14:paraId="664AC7FF" w14:textId="77777777" w:rsidR="00A55C83" w:rsidRPr="00355838" w:rsidRDefault="00A55C83" w:rsidP="00A55C83">
      <w:pPr>
        <w:pStyle w:val="Default"/>
        <w:rPr>
          <w:sz w:val="22"/>
          <w:szCs w:val="22"/>
          <w:lang w:val="en-CA"/>
        </w:rPr>
      </w:pPr>
      <w:r w:rsidRPr="00355838">
        <w:rPr>
          <w:sz w:val="22"/>
          <w:szCs w:val="22"/>
          <w:lang w:val="en-CA"/>
        </w:rPr>
        <w:t>Baker DW, Parker RM, Williams MV, et al. “The health care experience of patients with low literacy”, Arch Fam Med. 1996;5:329-34</w:t>
      </w:r>
    </w:p>
    <w:p w14:paraId="5DE76D88" w14:textId="77777777" w:rsidR="00A55C83" w:rsidRPr="00355838" w:rsidRDefault="00A55C83" w:rsidP="00A55C83">
      <w:pPr>
        <w:autoSpaceDE w:val="0"/>
        <w:autoSpaceDN w:val="0"/>
        <w:adjustRightInd w:val="0"/>
        <w:contextualSpacing/>
        <w:rPr>
          <w:rFonts w:ascii="Arial" w:hAnsi="Arial" w:cs="Arial"/>
          <w:sz w:val="22"/>
          <w:szCs w:val="22"/>
        </w:rPr>
      </w:pPr>
    </w:p>
    <w:p w14:paraId="1261E9D4" w14:textId="77777777" w:rsidR="00A55C83" w:rsidRDefault="00A55C83" w:rsidP="00A55C83">
      <w:pPr>
        <w:rPr>
          <w:rStyle w:val="apple-converted-space"/>
          <w:rFonts w:ascii="Arial" w:hAnsi="Arial" w:cs="Arial"/>
          <w:sz w:val="22"/>
          <w:szCs w:val="22"/>
        </w:rPr>
      </w:pPr>
      <w:r w:rsidRPr="00355838">
        <w:rPr>
          <w:rFonts w:ascii="Arial" w:hAnsi="Arial" w:cs="Arial"/>
          <w:color w:val="000000"/>
          <w:sz w:val="22"/>
          <w:szCs w:val="22"/>
        </w:rPr>
        <w:t>Boucher Barbara J. “</w:t>
      </w:r>
      <w:r w:rsidRPr="00355838">
        <w:rPr>
          <w:rFonts w:ascii="Arial" w:hAnsi="Arial" w:cs="Arial"/>
          <w:sz w:val="22"/>
          <w:szCs w:val="22"/>
        </w:rPr>
        <w:t xml:space="preserve">The Problems of Vitamin D Insufficiency in Older People”, </w:t>
      </w:r>
      <w:hyperlink r:id="rId9" w:history="1">
        <w:r w:rsidRPr="00355838">
          <w:rPr>
            <w:rStyle w:val="Hyperlink"/>
            <w:rFonts w:ascii="Arial" w:hAnsi="Arial" w:cs="Arial"/>
            <w:color w:val="auto"/>
            <w:sz w:val="22"/>
            <w:szCs w:val="22"/>
            <w:u w:val="none"/>
          </w:rPr>
          <w:t>Aging Dis.</w:t>
        </w:r>
      </w:hyperlink>
      <w:r w:rsidRPr="00355838">
        <w:rPr>
          <w:rStyle w:val="apple-converted-space"/>
          <w:rFonts w:ascii="Arial" w:hAnsi="Arial" w:cs="Arial"/>
          <w:sz w:val="22"/>
          <w:szCs w:val="22"/>
        </w:rPr>
        <w:t> </w:t>
      </w:r>
      <w:r w:rsidRPr="00355838">
        <w:rPr>
          <w:rFonts w:ascii="Arial" w:hAnsi="Arial" w:cs="Arial"/>
          <w:sz w:val="22"/>
          <w:szCs w:val="22"/>
        </w:rPr>
        <w:t>2012 Aug; 3(4): 313–329</w:t>
      </w:r>
      <w:r w:rsidRPr="00355838">
        <w:rPr>
          <w:rStyle w:val="apple-converted-space"/>
          <w:rFonts w:ascii="Arial" w:hAnsi="Arial" w:cs="Arial"/>
          <w:sz w:val="22"/>
          <w:szCs w:val="22"/>
        </w:rPr>
        <w:t> </w:t>
      </w:r>
    </w:p>
    <w:p w14:paraId="51542150" w14:textId="77777777" w:rsidR="00A55C83" w:rsidRDefault="00A55C83" w:rsidP="00A55C83">
      <w:pPr>
        <w:rPr>
          <w:rStyle w:val="apple-converted-space"/>
          <w:rFonts w:ascii="Arial" w:hAnsi="Arial" w:cs="Arial"/>
          <w:sz w:val="22"/>
          <w:szCs w:val="22"/>
        </w:rPr>
      </w:pPr>
    </w:p>
    <w:p w14:paraId="238ED5DA" w14:textId="77777777" w:rsidR="00A55C83" w:rsidRPr="00355838" w:rsidRDefault="00A55C83" w:rsidP="00A55C83">
      <w:pPr>
        <w:rPr>
          <w:rStyle w:val="apple-converted-space"/>
          <w:rFonts w:ascii="Arial" w:hAnsi="Arial" w:cs="Arial"/>
          <w:sz w:val="22"/>
          <w:szCs w:val="22"/>
        </w:rPr>
      </w:pPr>
      <w:r>
        <w:rPr>
          <w:rStyle w:val="apple-converted-space"/>
          <w:rFonts w:ascii="Arial" w:hAnsi="Arial" w:cs="Arial"/>
          <w:sz w:val="22"/>
          <w:szCs w:val="22"/>
        </w:rPr>
        <w:lastRenderedPageBreak/>
        <w:t>Charles P. Friedman, Adam K. Wong, David Blumenthal, “Achieving a Nationwide Learning Health System”, ScienceTranslationalMedicine, Vol 2 Issue 57, 2010</w:t>
      </w:r>
    </w:p>
    <w:p w14:paraId="39AED33A" w14:textId="77777777" w:rsidR="00A55C83" w:rsidRPr="00355838" w:rsidRDefault="00A55C83" w:rsidP="00A55C83">
      <w:pPr>
        <w:rPr>
          <w:rFonts w:ascii="Arial" w:hAnsi="Arial" w:cs="Arial"/>
          <w:color w:val="000000"/>
          <w:sz w:val="22"/>
          <w:szCs w:val="22"/>
        </w:rPr>
      </w:pPr>
    </w:p>
    <w:p w14:paraId="02EA3968"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 xml:space="preserve">Gröber Uwe. “Common Drugs as Vitamin D disruptors”, Review Article J Transl Sci, March 26, 2020, Volume 6: 1-4. doi: 10.15761/JTS.1000378 (ISSN:2059-268X) </w:t>
      </w:r>
    </w:p>
    <w:p w14:paraId="6EA8FC62" w14:textId="77777777" w:rsidR="00A55C83" w:rsidRPr="00355838" w:rsidRDefault="00A55C83" w:rsidP="00A55C83">
      <w:pPr>
        <w:autoSpaceDE w:val="0"/>
        <w:autoSpaceDN w:val="0"/>
        <w:adjustRightInd w:val="0"/>
        <w:contextualSpacing/>
        <w:rPr>
          <w:rFonts w:ascii="Arial" w:hAnsi="Arial" w:cs="Arial"/>
          <w:sz w:val="22"/>
          <w:szCs w:val="22"/>
        </w:rPr>
      </w:pPr>
    </w:p>
    <w:p w14:paraId="63E71EE2"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“Handbook of Clinical Nutrition and Aging”, Springer Nature, 2015</w:t>
      </w:r>
    </w:p>
    <w:p w14:paraId="3498A86E" w14:textId="77777777" w:rsidR="00A55C83" w:rsidRPr="00355838" w:rsidRDefault="00A55C83" w:rsidP="00A55C83">
      <w:pPr>
        <w:autoSpaceDE w:val="0"/>
        <w:autoSpaceDN w:val="0"/>
        <w:adjustRightInd w:val="0"/>
        <w:contextualSpacing/>
        <w:rPr>
          <w:rFonts w:ascii="Arial" w:hAnsi="Arial" w:cs="Arial"/>
          <w:sz w:val="22"/>
          <w:szCs w:val="22"/>
        </w:rPr>
      </w:pPr>
    </w:p>
    <w:p w14:paraId="5F82661E" w14:textId="77777777" w:rsidR="00A55C83"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“Handbook of Drug-Nutrient Interactions”, Springer Science and Business Media LLC, 2010 (Humana Press)</w:t>
      </w:r>
    </w:p>
    <w:p w14:paraId="289464CB" w14:textId="77777777" w:rsidR="00A55C83" w:rsidRDefault="00A55C83" w:rsidP="00A55C83">
      <w:pPr>
        <w:autoSpaceDE w:val="0"/>
        <w:autoSpaceDN w:val="0"/>
        <w:adjustRightInd w:val="0"/>
        <w:contextualSpacing/>
        <w:rPr>
          <w:rFonts w:ascii="Arial" w:hAnsi="Arial" w:cs="Arial"/>
          <w:sz w:val="22"/>
          <w:szCs w:val="22"/>
        </w:rPr>
      </w:pPr>
    </w:p>
    <w:p w14:paraId="5FEB75B1" w14:textId="77777777" w:rsidR="00A55C83" w:rsidRPr="00355838" w:rsidRDefault="00A55C83" w:rsidP="00A55C83">
      <w:pPr>
        <w:autoSpaceDE w:val="0"/>
        <w:autoSpaceDN w:val="0"/>
        <w:adjustRightInd w:val="0"/>
        <w:contextualSpacing/>
        <w:rPr>
          <w:rFonts w:ascii="Arial" w:hAnsi="Arial" w:cs="Arial"/>
          <w:sz w:val="22"/>
          <w:szCs w:val="22"/>
        </w:rPr>
      </w:pPr>
      <w:r>
        <w:rPr>
          <w:rFonts w:ascii="Arial" w:hAnsi="Arial" w:cs="Arial"/>
          <w:sz w:val="22"/>
          <w:szCs w:val="22"/>
        </w:rPr>
        <w:t>Jane Murphy. “Malnutrition: A significant threat to our health as we age”, British Geriatric Society</w:t>
      </w:r>
      <w:r w:rsidRPr="006415AF">
        <w:rPr>
          <w:rFonts w:ascii="Arial" w:hAnsi="Arial" w:cs="Arial"/>
          <w:color w:val="000000" w:themeColor="text1"/>
          <w:sz w:val="22"/>
          <w:szCs w:val="22"/>
        </w:rPr>
        <w:t xml:space="preserve">, </w:t>
      </w:r>
      <w:r>
        <w:rPr>
          <w:rFonts w:ascii="Arial" w:hAnsi="Arial" w:cs="Arial"/>
          <w:color w:val="000000" w:themeColor="text1"/>
          <w:sz w:val="22"/>
          <w:szCs w:val="22"/>
        </w:rPr>
        <w:t xml:space="preserve">Category: </w:t>
      </w:r>
      <w:r w:rsidRPr="006415AF">
        <w:rPr>
          <w:rFonts w:ascii="Arial" w:hAnsi="Arial" w:cs="Arial"/>
          <w:color w:val="000000" w:themeColor="text1"/>
          <w:sz w:val="22"/>
          <w:szCs w:val="22"/>
        </w:rPr>
        <w:t>Nutrition, 2019 (</w:t>
      </w:r>
      <w:hyperlink r:id="rId10" w:history="1">
        <w:r w:rsidRPr="006415AF">
          <w:rPr>
            <w:rStyle w:val="Hyperlink"/>
            <w:rFonts w:ascii="Arial" w:hAnsi="Arial" w:cs="Arial"/>
            <w:color w:val="000000" w:themeColor="text1"/>
            <w:sz w:val="22"/>
            <w:szCs w:val="22"/>
            <w:u w:val="none"/>
          </w:rPr>
          <w:t>www.bgs.co.uk</w:t>
        </w:r>
      </w:hyperlink>
      <w:r w:rsidRPr="006415AF">
        <w:rPr>
          <w:rFonts w:ascii="Arial" w:hAnsi="Arial" w:cs="Arial"/>
          <w:color w:val="000000" w:themeColor="text1"/>
          <w:sz w:val="22"/>
          <w:szCs w:val="22"/>
        </w:rPr>
        <w:t>)</w:t>
      </w:r>
    </w:p>
    <w:p w14:paraId="670EFF1C" w14:textId="77777777" w:rsidR="00A55C83" w:rsidRPr="00355838" w:rsidRDefault="00A55C83" w:rsidP="00A55C83">
      <w:pPr>
        <w:autoSpaceDE w:val="0"/>
        <w:autoSpaceDN w:val="0"/>
        <w:adjustRightInd w:val="0"/>
        <w:contextualSpacing/>
        <w:rPr>
          <w:rFonts w:ascii="Arial" w:hAnsi="Arial" w:cs="Arial"/>
          <w:sz w:val="22"/>
          <w:szCs w:val="22"/>
        </w:rPr>
      </w:pPr>
    </w:p>
    <w:p w14:paraId="455DC005"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Jonathan M. Teich, MD, PhD Department of Medicine and Emergency Medicine, Harvard Medical School Chief Medical Informatics Officer, InterSystems. “Clinical Decision Support for Improved Quality and Safety”, SQIL I Lecture 6, 2021</w:t>
      </w:r>
    </w:p>
    <w:p w14:paraId="389C5A68" w14:textId="77777777" w:rsidR="00A55C83" w:rsidRPr="00355838" w:rsidRDefault="00A55C83" w:rsidP="00A55C83">
      <w:pPr>
        <w:autoSpaceDE w:val="0"/>
        <w:autoSpaceDN w:val="0"/>
        <w:adjustRightInd w:val="0"/>
        <w:contextualSpacing/>
        <w:rPr>
          <w:rFonts w:ascii="Arial" w:hAnsi="Arial" w:cs="Arial"/>
          <w:sz w:val="22"/>
          <w:szCs w:val="22"/>
        </w:rPr>
      </w:pPr>
    </w:p>
    <w:p w14:paraId="61451268"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J. Zochling, Y.Y. Sitoh, T.C. lau, I.D. Cameron et al. “Quantitative Ultrasound of the Calcaneus and Falls Risk in the Institutionalised Elderly: sex differences and Relationship to Vitamin D Status”, Osteoporosis International, 2002</w:t>
      </w:r>
    </w:p>
    <w:p w14:paraId="31E01CB0" w14:textId="77777777" w:rsidR="00A55C83" w:rsidRPr="00355838" w:rsidRDefault="00A55C83" w:rsidP="00A55C83">
      <w:pPr>
        <w:autoSpaceDE w:val="0"/>
        <w:autoSpaceDN w:val="0"/>
        <w:adjustRightInd w:val="0"/>
        <w:contextualSpacing/>
        <w:rPr>
          <w:rFonts w:ascii="Arial" w:hAnsi="Arial" w:cs="Arial"/>
          <w:sz w:val="22"/>
          <w:szCs w:val="22"/>
        </w:rPr>
      </w:pPr>
    </w:p>
    <w:p w14:paraId="7DB95DE8" w14:textId="77777777" w:rsidR="00A55C83" w:rsidRPr="00355838" w:rsidRDefault="00A55C83" w:rsidP="00A55C83">
      <w:pPr>
        <w:autoSpaceDE w:val="0"/>
        <w:autoSpaceDN w:val="0"/>
        <w:adjustRightInd w:val="0"/>
        <w:contextualSpacing/>
        <w:rPr>
          <w:rFonts w:ascii="Arial" w:hAnsi="Arial" w:cs="Arial"/>
          <w:sz w:val="22"/>
          <w:szCs w:val="22"/>
        </w:rPr>
      </w:pPr>
      <w:r w:rsidRPr="00355838">
        <w:rPr>
          <w:rFonts w:ascii="Arial" w:hAnsi="Arial" w:cs="Arial"/>
          <w:sz w:val="22"/>
          <w:szCs w:val="22"/>
        </w:rPr>
        <w:t>Jon Allard, Charlotte Lawthorn, William Henley, Brendan Mclean et al. “Eslicarbazepine Acetate response in Intellectual Disability population versus general population”, Acta Neurologica Scvandinavica, 2020</w:t>
      </w:r>
    </w:p>
    <w:p w14:paraId="4B54828B" w14:textId="77777777" w:rsidR="00A55C83" w:rsidRPr="00355838" w:rsidRDefault="00A55C83" w:rsidP="00A55C83">
      <w:pPr>
        <w:rPr>
          <w:rFonts w:ascii="Arial" w:hAnsi="Arial" w:cs="Arial"/>
          <w:color w:val="000000"/>
          <w:sz w:val="22"/>
          <w:szCs w:val="22"/>
        </w:rPr>
      </w:pPr>
    </w:p>
    <w:p w14:paraId="7F0AAB10" w14:textId="71D81D51" w:rsidR="00A55C83" w:rsidRPr="00355838" w:rsidRDefault="00A55C83" w:rsidP="00A55C83">
      <w:pPr>
        <w:pStyle w:val="Default"/>
        <w:rPr>
          <w:sz w:val="22"/>
          <w:szCs w:val="22"/>
        </w:rPr>
      </w:pPr>
      <w:r w:rsidRPr="00355838">
        <w:rPr>
          <w:sz w:val="22"/>
          <w:szCs w:val="22"/>
        </w:rPr>
        <w:t>Miles S, Davis T. “Patients who can’t read: implications for the health care system”, JAMA. 1995; 274:1719–20</w:t>
      </w:r>
    </w:p>
    <w:p w14:paraId="57518B4F" w14:textId="77777777" w:rsidR="00A55C83" w:rsidRPr="00355838" w:rsidRDefault="00A55C83" w:rsidP="00A55C83">
      <w:pPr>
        <w:pStyle w:val="Default"/>
        <w:rPr>
          <w:sz w:val="22"/>
          <w:szCs w:val="22"/>
          <w:lang w:val="en-CA"/>
        </w:rPr>
      </w:pPr>
      <w:r w:rsidRPr="00355838">
        <w:rPr>
          <w:sz w:val="22"/>
          <w:szCs w:val="22"/>
          <w:lang w:val="en-CA"/>
        </w:rPr>
        <w:t>Parikh NS, Parker RM, Nurss JR, Baker DW, Williams MV. “Shame and health literacy: the unspoken connection”, Patient Educ Counsel. 1996; 27:33</w:t>
      </w:r>
    </w:p>
    <w:p w14:paraId="6E5A3156" w14:textId="77777777" w:rsidR="00A55C83" w:rsidRPr="00355838" w:rsidRDefault="00A55C83" w:rsidP="00A55C83">
      <w:pPr>
        <w:pStyle w:val="Default"/>
        <w:rPr>
          <w:sz w:val="22"/>
          <w:szCs w:val="22"/>
          <w:lang w:val="en-CA"/>
        </w:rPr>
      </w:pPr>
    </w:p>
    <w:p w14:paraId="15238FB4" w14:textId="77777777" w:rsidR="00A55C83" w:rsidRPr="00355838" w:rsidRDefault="00A55C83" w:rsidP="00A55C83">
      <w:pPr>
        <w:pStyle w:val="Default"/>
        <w:rPr>
          <w:sz w:val="22"/>
          <w:szCs w:val="22"/>
          <w:lang w:val="en-GB"/>
        </w:rPr>
      </w:pPr>
      <w:r w:rsidRPr="00355838">
        <w:rPr>
          <w:sz w:val="22"/>
          <w:szCs w:val="22"/>
          <w:lang w:val="en-CA"/>
        </w:rPr>
        <w:t>Parker RM, Baker DW, Williams MV, Nurss JR. “The test of functional health literacy in adults: a new instrument for measuring patients’ literacy skills”, J Gen Intern Med. 1995;10:537–41</w:t>
      </w:r>
    </w:p>
    <w:p w14:paraId="104CAFC1" w14:textId="77777777" w:rsidR="00A55C83" w:rsidRPr="00355838" w:rsidRDefault="00A55C83" w:rsidP="00A55C83">
      <w:pPr>
        <w:pStyle w:val="Default"/>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8FF3DE7" w14:textId="77777777" w:rsidR="00A55C83" w:rsidRPr="00355838" w:rsidRDefault="00A55C83" w:rsidP="00A55C83">
      <w:pPr>
        <w:contextualSpacing/>
        <w:rPr>
          <w:rFonts w:ascii="Arial" w:hAnsi="Arial" w:cs="Arial"/>
          <w:sz w:val="22"/>
          <w:szCs w:val="22"/>
        </w:rPr>
      </w:pPr>
      <w:r w:rsidRPr="00355838">
        <w:rPr>
          <w:rFonts w:ascii="Arial" w:hAnsi="Arial" w:cs="Arial"/>
          <w:sz w:val="22"/>
          <w:szCs w:val="22"/>
        </w:rPr>
        <w:t xml:space="preserve">Philip N. Patsalos, †David J. Berry, ‡Blaise F. D. Bourgeois, §James C. Cloyd, ¶Tracy A. Glauser, #Svein I. Johannessen, $Ilo E. Leppik, </w:t>
      </w:r>
      <w:r w:rsidRPr="00355838">
        <w:rPr>
          <w:rFonts w:ascii="Cambria Math" w:hAnsi="Cambria Math" w:cs="Cambria Math"/>
          <w:sz w:val="22"/>
          <w:szCs w:val="22"/>
        </w:rPr>
        <w:t>∗∗</w:t>
      </w:r>
      <w:r w:rsidRPr="00355838">
        <w:rPr>
          <w:rFonts w:ascii="Arial" w:hAnsi="Arial" w:cs="Arial"/>
          <w:sz w:val="22"/>
          <w:szCs w:val="22"/>
        </w:rPr>
        <w:t>Torbjorn Tomson, and ††Emilio Perucca</w:t>
      </w:r>
    </w:p>
    <w:p w14:paraId="22F6A900" w14:textId="77777777" w:rsidR="00A55C83" w:rsidRPr="00355838" w:rsidRDefault="00A55C83" w:rsidP="00A55C83">
      <w:pPr>
        <w:contextualSpacing/>
        <w:rPr>
          <w:rFonts w:ascii="Arial" w:hAnsi="Arial" w:cs="Arial"/>
          <w:sz w:val="22"/>
          <w:szCs w:val="22"/>
        </w:rPr>
      </w:pPr>
      <w:r w:rsidRPr="00355838">
        <w:rPr>
          <w:rFonts w:ascii="Arial" w:hAnsi="Arial" w:cs="Arial"/>
          <w:sz w:val="22"/>
          <w:szCs w:val="22"/>
        </w:rPr>
        <w:t>“Antiepileptic drugs—best practice guidelines for therapeutic drug monitoring: A position paper by the sub commission on therapeutic drug monitoring”, The ILAE Commission on Therapeutic Strategies, Epilepsia, 49(7):1239–1276, 2008 doi: 10.1111/j.1528-1167.2008. 01561.x</w:t>
      </w:r>
    </w:p>
    <w:p w14:paraId="6BBE35EC" w14:textId="77777777" w:rsidR="00A55C83" w:rsidRPr="00355838" w:rsidRDefault="00A55C83" w:rsidP="00A55C83">
      <w:pPr>
        <w:contextualSpacing/>
        <w:rPr>
          <w:rFonts w:ascii="Arial" w:hAnsi="Arial" w:cs="Arial"/>
          <w:sz w:val="22"/>
          <w:szCs w:val="22"/>
        </w:rPr>
      </w:pPr>
    </w:p>
    <w:p w14:paraId="7B277F2A" w14:textId="77777777" w:rsidR="00A55C83" w:rsidRPr="009E320C" w:rsidRDefault="00A55C83" w:rsidP="00A55C83">
      <w:pPr>
        <w:contextualSpacing/>
        <w:rPr>
          <w:rFonts w:ascii="Arial" w:hAnsi="Arial" w:cs="Arial"/>
          <w:color w:val="000000" w:themeColor="text1"/>
          <w:sz w:val="22"/>
          <w:szCs w:val="22"/>
        </w:rPr>
      </w:pPr>
      <w:r w:rsidRPr="009E320C">
        <w:rPr>
          <w:rFonts w:ascii="Arial" w:hAnsi="Arial" w:cs="Arial"/>
          <w:color w:val="000000" w:themeColor="text1"/>
          <w:sz w:val="22"/>
          <w:szCs w:val="22"/>
        </w:rPr>
        <w:t>Picton C BSc MBA MRPharmS, Wright H BPharm MRPharmS. “Medicines Optimisation: Helping patients to make the most of medicines”, Royal Pharmaceutical Society. May 2013.</w:t>
      </w:r>
    </w:p>
    <w:p w14:paraId="354665C5" w14:textId="77777777" w:rsidR="00A55C83" w:rsidRPr="009E320C" w:rsidRDefault="00A55C83" w:rsidP="00A55C83">
      <w:pPr>
        <w:contextualSpacing/>
        <w:rPr>
          <w:rFonts w:ascii="Arial" w:hAnsi="Arial" w:cs="Arial"/>
          <w:color w:val="000000" w:themeColor="text1"/>
          <w:sz w:val="22"/>
          <w:szCs w:val="22"/>
        </w:rPr>
      </w:pPr>
      <w:hyperlink r:id="rId11" w:history="1">
        <w:r w:rsidRPr="009E320C">
          <w:rPr>
            <w:rStyle w:val="Hyperlink"/>
            <w:rFonts w:ascii="Arial" w:hAnsi="Arial" w:cs="Arial"/>
            <w:color w:val="000000" w:themeColor="text1"/>
            <w:sz w:val="22"/>
            <w:szCs w:val="22"/>
            <w:u w:val="none"/>
          </w:rPr>
          <w:t>https://www.rpharms.com/Portals/0/RPS%20document%20library/Open%20access/Policy/helping-patients-make-the-most-of-their-medicines.pdf</w:t>
        </w:r>
      </w:hyperlink>
    </w:p>
    <w:p w14:paraId="68BB059D" w14:textId="77777777" w:rsidR="00A55C83" w:rsidRPr="00355838" w:rsidRDefault="00A55C83" w:rsidP="00A55C83">
      <w:pPr>
        <w:contextualSpacing/>
        <w:rPr>
          <w:rFonts w:ascii="Arial" w:hAnsi="Arial" w:cs="Arial"/>
          <w:sz w:val="22"/>
          <w:szCs w:val="22"/>
        </w:rPr>
      </w:pPr>
    </w:p>
    <w:p w14:paraId="69D34A13" w14:textId="77777777" w:rsidR="00A55C83" w:rsidRPr="00355838" w:rsidRDefault="00A55C83" w:rsidP="00A55C83">
      <w:pPr>
        <w:contextualSpacing/>
        <w:rPr>
          <w:rFonts w:ascii="Arial" w:hAnsi="Arial" w:cs="Arial"/>
          <w:sz w:val="22"/>
          <w:szCs w:val="22"/>
        </w:rPr>
      </w:pPr>
      <w:r w:rsidRPr="00355838">
        <w:rPr>
          <w:rFonts w:ascii="Arial" w:hAnsi="Arial" w:cs="Arial"/>
          <w:sz w:val="22"/>
          <w:szCs w:val="22"/>
        </w:rPr>
        <w:t>“Physical Health of Adults with Intellectual and Developmental Disabilities”, Springer Science and Business Media LLC, 2019</w:t>
      </w:r>
    </w:p>
    <w:p w14:paraId="69CDA646" w14:textId="77777777" w:rsidR="00A55C83" w:rsidRPr="00355838" w:rsidRDefault="00A55C83" w:rsidP="00A55C83">
      <w:pPr>
        <w:rPr>
          <w:rFonts w:ascii="Arial" w:hAnsi="Arial" w:cs="Arial"/>
          <w:sz w:val="22"/>
          <w:szCs w:val="22"/>
        </w:rPr>
      </w:pPr>
    </w:p>
    <w:p w14:paraId="1170B070" w14:textId="77777777" w:rsidR="00A55C83" w:rsidRPr="00355838" w:rsidRDefault="00A55C83" w:rsidP="00A55C83">
      <w:pPr>
        <w:rPr>
          <w:rFonts w:ascii="Arial" w:hAnsi="Arial" w:cs="Arial"/>
          <w:sz w:val="22"/>
          <w:szCs w:val="22"/>
        </w:rPr>
      </w:pPr>
      <w:r w:rsidRPr="00355838">
        <w:rPr>
          <w:rFonts w:ascii="Arial" w:hAnsi="Arial" w:cs="Arial"/>
          <w:sz w:val="22"/>
          <w:szCs w:val="22"/>
        </w:rPr>
        <w:lastRenderedPageBreak/>
        <w:t>Royal College of Psychiatrists. “Prescribing anti-epileptic drugs for people with epilepsy and intellectual disability (ID)”, College Report CR206 October 2017.</w:t>
      </w:r>
    </w:p>
    <w:p w14:paraId="2B2D6678" w14:textId="77777777" w:rsidR="00A55C83" w:rsidRPr="00355838" w:rsidRDefault="00A55C83" w:rsidP="00A55C83">
      <w:pPr>
        <w:pStyle w:val="Default"/>
        <w:rPr>
          <w:color w:val="000000" w:themeColor="text1"/>
          <w:sz w:val="22"/>
          <w:szCs w:val="22"/>
        </w:rPr>
      </w:pPr>
      <w:r w:rsidRPr="00355838">
        <w:rPr>
          <w:sz w:val="22"/>
          <w:szCs w:val="22"/>
        </w:rPr>
        <w:t>https://www.rcpsych.ac.uk/improving-care/campaigning-for-better-mental-health-policy/college-reports/2017-college-reports/prescribing-anti-epileptic-drugs-for-people-with-epilepsy-and-intellectual-disability-cr206-oct-2017</w:t>
      </w:r>
    </w:p>
    <w:p w14:paraId="07C0E2C3" w14:textId="77777777" w:rsidR="00A55C83" w:rsidRPr="00355838" w:rsidRDefault="00A55C83" w:rsidP="00A55C83">
      <w:pPr>
        <w:pStyle w:val="Default"/>
        <w:rPr>
          <w:sz w:val="22"/>
          <w:szCs w:val="22"/>
        </w:rPr>
      </w:pPr>
      <w:r w:rsidRPr="00355838">
        <w:rPr>
          <w:sz w:val="22"/>
          <w:szCs w:val="22"/>
        </w:rPr>
        <w:tab/>
      </w:r>
    </w:p>
    <w:p w14:paraId="4E875902" w14:textId="5E515935" w:rsidR="00A55C83" w:rsidRPr="00355838" w:rsidRDefault="00A55C83" w:rsidP="00A55C83">
      <w:pPr>
        <w:autoSpaceDE w:val="0"/>
        <w:autoSpaceDN w:val="0"/>
        <w:adjustRightInd w:val="0"/>
        <w:rPr>
          <w:rFonts w:ascii="Arial" w:hAnsi="Arial" w:cs="Arial"/>
          <w:sz w:val="22"/>
          <w:szCs w:val="22"/>
        </w:rPr>
      </w:pPr>
      <w:r w:rsidRPr="00355838">
        <w:rPr>
          <w:rFonts w:ascii="Arial" w:hAnsi="Arial" w:cs="Arial"/>
          <w:sz w:val="22"/>
          <w:szCs w:val="22"/>
        </w:rPr>
        <w:t>Rebecca Stratton, Trevor Smith</w:t>
      </w:r>
      <w:r>
        <w:rPr>
          <w:rFonts w:ascii="Arial" w:hAnsi="Arial" w:cs="Arial"/>
          <w:sz w:val="22"/>
          <w:szCs w:val="22"/>
        </w:rPr>
        <w:t>,</w:t>
      </w:r>
      <w:r w:rsidRPr="00355838">
        <w:rPr>
          <w:rFonts w:ascii="Arial" w:hAnsi="Arial" w:cs="Arial"/>
          <w:sz w:val="22"/>
          <w:szCs w:val="22"/>
        </w:rPr>
        <w:t xml:space="preserve"> and Simon Gabe. </w:t>
      </w:r>
      <w:r>
        <w:rPr>
          <w:rFonts w:ascii="Arial" w:hAnsi="Arial" w:cs="Arial"/>
          <w:sz w:val="22"/>
          <w:szCs w:val="22"/>
        </w:rPr>
        <w:t>“</w:t>
      </w:r>
      <w:r w:rsidRPr="00355838">
        <w:rPr>
          <w:rFonts w:ascii="Arial" w:hAnsi="Arial" w:cs="Arial"/>
          <w:sz w:val="22"/>
          <w:szCs w:val="22"/>
        </w:rPr>
        <w:t xml:space="preserve">Managing malnutrition to improve lives and save money”, Published on BAPEN (British Association of Parenteral and Enteral Nutrition) website </w:t>
      </w:r>
      <w:hyperlink r:id="rId12" w:history="1">
        <w:r w:rsidRPr="00355838">
          <w:rPr>
            <w:rStyle w:val="Hyperlink"/>
            <w:rFonts w:ascii="Arial" w:hAnsi="Arial" w:cs="Arial"/>
            <w:color w:val="000000" w:themeColor="text1"/>
            <w:sz w:val="22"/>
            <w:szCs w:val="22"/>
            <w:u w:val="none"/>
          </w:rPr>
          <w:t>www.bapen.org.uk</w:t>
        </w:r>
      </w:hyperlink>
      <w:r w:rsidRPr="00355838">
        <w:rPr>
          <w:rFonts w:ascii="Arial" w:hAnsi="Arial" w:cs="Arial"/>
          <w:color w:val="000000" w:themeColor="text1"/>
          <w:sz w:val="22"/>
          <w:szCs w:val="22"/>
        </w:rPr>
        <w:t xml:space="preserve">. </w:t>
      </w:r>
      <w:r w:rsidRPr="00355838">
        <w:rPr>
          <w:rFonts w:ascii="Arial" w:hAnsi="Arial" w:cs="Arial"/>
          <w:sz w:val="22"/>
          <w:szCs w:val="22"/>
        </w:rPr>
        <w:t>October 2018. ISBN: 978-1-899467-23-8</w:t>
      </w:r>
    </w:p>
    <w:p w14:paraId="396E92F2" w14:textId="77777777" w:rsidR="00A55C83" w:rsidRPr="00355838" w:rsidRDefault="00A55C83" w:rsidP="00A55C83">
      <w:pPr>
        <w:autoSpaceDE w:val="0"/>
        <w:autoSpaceDN w:val="0"/>
        <w:adjustRightInd w:val="0"/>
        <w:contextualSpacing/>
        <w:rPr>
          <w:rStyle w:val="Hyperlink"/>
          <w:rFonts w:ascii="Arial" w:hAnsi="Arial" w:cs="Arial"/>
          <w:color w:val="auto"/>
          <w:sz w:val="22"/>
          <w:szCs w:val="22"/>
          <w:u w:val="none"/>
        </w:rPr>
      </w:pPr>
      <w:r w:rsidRPr="00355838">
        <w:rPr>
          <w:rFonts w:ascii="Arial" w:hAnsi="Arial" w:cs="Arial"/>
          <w:sz w:val="22"/>
          <w:szCs w:val="22"/>
        </w:rPr>
        <w:t xml:space="preserve">Simon Borghs*, Laura Byram, Jane Chan, Peter Dedeken, John Logan, Victor Kiri, Matthias Noack-Rink, Philip N. Patsalos and Solène Thieffry. “Comparing healthcare cost associated with the use of enzyme-inducing and non-enzyme active antiepileptic drugs in elderly patients with epilepsy in the UK: a long-term retrospective matched cohort study”, BMC Neurology (2020) 20:7. </w:t>
      </w:r>
      <w:hyperlink r:id="rId13" w:history="1">
        <w:r w:rsidRPr="00355838">
          <w:rPr>
            <w:rStyle w:val="Hyperlink"/>
            <w:rFonts w:ascii="Arial" w:hAnsi="Arial" w:cs="Arial"/>
            <w:color w:val="auto"/>
            <w:sz w:val="22"/>
            <w:szCs w:val="22"/>
            <w:u w:val="none"/>
          </w:rPr>
          <w:t>https://doi.org/10.1186/s12883-019-1587-9</w:t>
        </w:r>
      </w:hyperlink>
    </w:p>
    <w:p w14:paraId="620812FF" w14:textId="77777777" w:rsidR="00A55C83" w:rsidRPr="00355838" w:rsidRDefault="00A55C83" w:rsidP="00A55C83">
      <w:pPr>
        <w:autoSpaceDE w:val="0"/>
        <w:autoSpaceDN w:val="0"/>
        <w:adjustRightInd w:val="0"/>
        <w:contextualSpacing/>
        <w:rPr>
          <w:rStyle w:val="Hyperlink"/>
          <w:rFonts w:ascii="Arial" w:hAnsi="Arial" w:cs="Arial"/>
          <w:color w:val="auto"/>
          <w:sz w:val="22"/>
          <w:szCs w:val="22"/>
          <w:u w:val="none"/>
        </w:rPr>
      </w:pPr>
    </w:p>
    <w:p w14:paraId="6ACDAC9B" w14:textId="77777777" w:rsidR="00A55C83" w:rsidRPr="00355838" w:rsidRDefault="00A55C83" w:rsidP="00A55C83">
      <w:pPr>
        <w:autoSpaceDE w:val="0"/>
        <w:autoSpaceDN w:val="0"/>
        <w:adjustRightInd w:val="0"/>
        <w:contextualSpacing/>
        <w:rPr>
          <w:rFonts w:ascii="Arial" w:hAnsi="Arial" w:cs="Arial"/>
          <w:sz w:val="22"/>
          <w:szCs w:val="22"/>
        </w:rPr>
      </w:pPr>
      <w:r w:rsidRPr="00355838">
        <w:rPr>
          <w:rStyle w:val="Hyperlink"/>
          <w:rFonts w:ascii="Arial" w:hAnsi="Arial" w:cs="Arial"/>
          <w:color w:val="auto"/>
          <w:sz w:val="22"/>
          <w:szCs w:val="22"/>
          <w:u w:val="none"/>
        </w:rPr>
        <w:t>Vicente Villaneuva, Juan Carlos Sanchez-Alvarez, Mar Carrerio, Javier Salas-Puig et al. “Initiating antiepilepsy treatment: “An update of expert consensus in Spain”, Epilepsy &amp; Behavior, 2020</w:t>
      </w:r>
    </w:p>
    <w:p w14:paraId="6F63ACB1" w14:textId="77777777" w:rsidR="00A55C83" w:rsidRPr="00355838" w:rsidRDefault="00A55C83" w:rsidP="00A55C83">
      <w:pPr>
        <w:pStyle w:val="Default"/>
        <w:rPr>
          <w:sz w:val="22"/>
          <w:szCs w:val="22"/>
        </w:rPr>
      </w:pPr>
    </w:p>
    <w:p w14:paraId="5DE50234" w14:textId="77777777" w:rsidR="00A55C83" w:rsidRPr="00355838" w:rsidRDefault="00A55C83" w:rsidP="00A55C83">
      <w:pPr>
        <w:pStyle w:val="Default"/>
        <w:rPr>
          <w:sz w:val="22"/>
          <w:szCs w:val="22"/>
          <w:lang w:val="en-GB"/>
        </w:rPr>
      </w:pPr>
      <w:r w:rsidRPr="00355838">
        <w:rPr>
          <w:sz w:val="22"/>
          <w:szCs w:val="22"/>
        </w:rPr>
        <w:t>Williams MV, Parker RM, Baker DW, et al. “Inadequate functional health literacy among patients at two public hospitals”, JAMA. 1995; 274:1677–82</w:t>
      </w:r>
    </w:p>
    <w:p w14:paraId="35926121" w14:textId="77777777" w:rsidR="00A55C83" w:rsidRPr="00355838" w:rsidRDefault="00A55C83" w:rsidP="00A55C83">
      <w:pPr>
        <w:pStyle w:val="Default"/>
        <w:rPr>
          <w:sz w:val="22"/>
          <w:szCs w:val="22"/>
          <w:lang w:val="en-GB"/>
        </w:rPr>
      </w:pPr>
    </w:p>
    <w:p w14:paraId="172492C6" w14:textId="3926F46D" w:rsidR="00C43D6D" w:rsidRPr="00A55C83" w:rsidRDefault="00C43D6D" w:rsidP="00A55C83">
      <w:pPr>
        <w:autoSpaceDE w:val="0"/>
        <w:autoSpaceDN w:val="0"/>
        <w:adjustRightInd w:val="0"/>
        <w:rPr>
          <w:rFonts w:ascii="Arial" w:hAnsi="Arial" w:cs="Arial"/>
          <w:b/>
          <w:bCs/>
          <w:color w:val="000000"/>
          <w:sz w:val="22"/>
          <w:szCs w:val="22"/>
        </w:rPr>
      </w:pPr>
      <w:r>
        <w:rPr>
          <w:b/>
          <w:bCs/>
        </w:rPr>
        <w:t>MJ Otto. 104 Oak Road, Tiptree CO50NA, Essex UK. +447540878775. jacquesotto@btinternet.com</w:t>
      </w:r>
    </w:p>
    <w:sectPr w:rsidR="00C43D6D" w:rsidRPr="00A55C83">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06695" w14:textId="77777777" w:rsidR="005F3841" w:rsidRDefault="005F3841" w:rsidP="000857ED">
      <w:pPr>
        <w:spacing w:before="0" w:after="0"/>
      </w:pPr>
      <w:r>
        <w:separator/>
      </w:r>
    </w:p>
  </w:endnote>
  <w:endnote w:type="continuationSeparator" w:id="0">
    <w:p w14:paraId="71F082AC" w14:textId="77777777" w:rsidR="005F3841" w:rsidRDefault="005F3841" w:rsidP="000857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60963197"/>
      <w:docPartObj>
        <w:docPartGallery w:val="Page Numbers (Bottom of Page)"/>
        <w:docPartUnique/>
      </w:docPartObj>
    </w:sdtPr>
    <w:sdtEndPr>
      <w:rPr>
        <w:rStyle w:val="PageNumber"/>
      </w:rPr>
    </w:sdtEndPr>
    <w:sdtContent>
      <w:p w14:paraId="29986268" w14:textId="71E9A1D7" w:rsidR="000857ED" w:rsidRDefault="000857ED" w:rsidP="003861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141C90" w14:textId="77777777" w:rsidR="000857ED" w:rsidRDefault="000857ED" w:rsidP="000857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23754798"/>
      <w:docPartObj>
        <w:docPartGallery w:val="Page Numbers (Bottom of Page)"/>
        <w:docPartUnique/>
      </w:docPartObj>
    </w:sdtPr>
    <w:sdtEndPr>
      <w:rPr>
        <w:rStyle w:val="PageNumber"/>
      </w:rPr>
    </w:sdtEndPr>
    <w:sdtContent>
      <w:p w14:paraId="776238C1" w14:textId="530B7B81" w:rsidR="000857ED" w:rsidRDefault="000857ED" w:rsidP="003861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CE5A12" w14:textId="77777777" w:rsidR="000857ED" w:rsidRDefault="000857ED" w:rsidP="000857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FC941" w14:textId="77777777" w:rsidR="005F3841" w:rsidRDefault="005F3841" w:rsidP="000857ED">
      <w:pPr>
        <w:spacing w:before="0" w:after="0"/>
      </w:pPr>
      <w:r>
        <w:separator/>
      </w:r>
    </w:p>
  </w:footnote>
  <w:footnote w:type="continuationSeparator" w:id="0">
    <w:p w14:paraId="39D2B651" w14:textId="77777777" w:rsidR="005F3841" w:rsidRDefault="005F3841" w:rsidP="000857ED">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29"/>
    <w:rsid w:val="000857ED"/>
    <w:rsid w:val="000B7919"/>
    <w:rsid w:val="000D53EC"/>
    <w:rsid w:val="001C639D"/>
    <w:rsid w:val="00303EEE"/>
    <w:rsid w:val="00306FC4"/>
    <w:rsid w:val="00314360"/>
    <w:rsid w:val="003A5626"/>
    <w:rsid w:val="00485B6A"/>
    <w:rsid w:val="00595429"/>
    <w:rsid w:val="005D62FE"/>
    <w:rsid w:val="005F3841"/>
    <w:rsid w:val="00612A04"/>
    <w:rsid w:val="007D47FC"/>
    <w:rsid w:val="007F4907"/>
    <w:rsid w:val="00876DF6"/>
    <w:rsid w:val="008F11F6"/>
    <w:rsid w:val="00904584"/>
    <w:rsid w:val="00944D79"/>
    <w:rsid w:val="009B6112"/>
    <w:rsid w:val="009F22C2"/>
    <w:rsid w:val="00A55C83"/>
    <w:rsid w:val="00B1115E"/>
    <w:rsid w:val="00BA6A35"/>
    <w:rsid w:val="00BB73D5"/>
    <w:rsid w:val="00C43D6D"/>
    <w:rsid w:val="00DC1E98"/>
    <w:rsid w:val="00E52F36"/>
    <w:rsid w:val="00F02C48"/>
    <w:rsid w:val="00F94445"/>
    <w:rsid w:val="00FA3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78C256"/>
  <w15:chartTrackingRefBased/>
  <w15:docId w15:val="{34917AFD-BD09-0D4A-8FCE-3DE33F57F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857ED"/>
    <w:pPr>
      <w:tabs>
        <w:tab w:val="center" w:pos="4513"/>
        <w:tab w:val="right" w:pos="9026"/>
      </w:tabs>
      <w:spacing w:before="0" w:after="0"/>
    </w:pPr>
  </w:style>
  <w:style w:type="character" w:customStyle="1" w:styleId="FooterChar">
    <w:name w:val="Footer Char"/>
    <w:basedOn w:val="DefaultParagraphFont"/>
    <w:link w:val="Footer"/>
    <w:uiPriority w:val="99"/>
    <w:rsid w:val="000857ED"/>
  </w:style>
  <w:style w:type="character" w:styleId="PageNumber">
    <w:name w:val="page number"/>
    <w:basedOn w:val="DefaultParagraphFont"/>
    <w:uiPriority w:val="99"/>
    <w:semiHidden/>
    <w:unhideWhenUsed/>
    <w:rsid w:val="000857ED"/>
  </w:style>
  <w:style w:type="character" w:styleId="Hyperlink">
    <w:name w:val="Hyperlink"/>
    <w:basedOn w:val="DefaultParagraphFont"/>
    <w:uiPriority w:val="99"/>
    <w:unhideWhenUsed/>
    <w:rsid w:val="00A55C83"/>
    <w:rPr>
      <w:color w:val="0563C1" w:themeColor="hyperlink"/>
      <w:u w:val="single"/>
    </w:rPr>
  </w:style>
  <w:style w:type="character" w:customStyle="1" w:styleId="apple-converted-space">
    <w:name w:val="apple-converted-space"/>
    <w:basedOn w:val="DefaultParagraphFont"/>
    <w:rsid w:val="00A55C83"/>
  </w:style>
  <w:style w:type="paragraph" w:customStyle="1" w:styleId="Default">
    <w:name w:val="Default"/>
    <w:rsid w:val="00A55C83"/>
    <w:pPr>
      <w:autoSpaceDE w:val="0"/>
      <w:autoSpaceDN w:val="0"/>
      <w:adjustRightInd w:val="0"/>
      <w:spacing w:before="0" w:beforeAutospacing="0" w:after="0" w:afterAutospacing="0"/>
    </w:pPr>
    <w:rPr>
      <w:rFonts w:ascii="Arial"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1186/s12883-019-1587-9"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bapen.org.u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s://www.rpharms.com/Portals/0/RPS%20document%20library/Open%20access/Policy/helping-patients-make-the-most-of-their-medicines.pdf"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www.bgs.co.uk" TargetMode="External"/><Relationship Id="rId4" Type="http://schemas.openxmlformats.org/officeDocument/2006/relationships/footnotes" Target="footnotes.xml"/><Relationship Id="rId9" Type="http://schemas.openxmlformats.org/officeDocument/2006/relationships/hyperlink" Target="https://www.ncbi.nlm.nih.gov/pmc/articles/PMC350136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6</Pages>
  <Words>1624</Words>
  <Characters>9262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Morkel Otto</dc:creator>
  <cp:keywords/>
  <dc:description/>
  <cp:lastModifiedBy>Morkel Otto</cp:lastModifiedBy>
  <cp:revision>13</cp:revision>
  <dcterms:created xsi:type="dcterms:W3CDTF">2021-12-13T20:22:00Z</dcterms:created>
  <dcterms:modified xsi:type="dcterms:W3CDTF">2021-12-18T16:44:00Z</dcterms:modified>
</cp:coreProperties>
</file>