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4D7D6" w14:textId="77777777" w:rsidR="00F86D12" w:rsidRPr="00DD35FD" w:rsidRDefault="00F86D12" w:rsidP="00F86D12">
      <w:pPr>
        <w:spacing w:line="276" w:lineRule="auto"/>
        <w:jc w:val="both"/>
        <w:rPr>
          <w:b/>
          <w:sz w:val="24"/>
          <w:szCs w:val="24"/>
        </w:rPr>
      </w:pPr>
      <w:r w:rsidRPr="00DD35FD">
        <w:rPr>
          <w:b/>
          <w:sz w:val="24"/>
          <w:szCs w:val="24"/>
        </w:rPr>
        <w:t>Abstract</w:t>
      </w:r>
    </w:p>
    <w:p w14:paraId="292902B0" w14:textId="77777777" w:rsidR="00F86D12" w:rsidRPr="00DD35FD" w:rsidRDefault="00F86D12" w:rsidP="00F86D12">
      <w:pPr>
        <w:spacing w:line="276" w:lineRule="auto"/>
        <w:jc w:val="both"/>
        <w:rPr>
          <w:i/>
          <w:sz w:val="24"/>
          <w:szCs w:val="24"/>
        </w:rPr>
      </w:pPr>
      <w:r w:rsidRPr="00DD35FD">
        <w:rPr>
          <w:i/>
          <w:sz w:val="24"/>
          <w:szCs w:val="24"/>
        </w:rPr>
        <w:t>This paper adds to the existing literature on the relationship between health expenditure and life expectancy in sub Saharan Africa.  However, as</w:t>
      </w:r>
      <w:r>
        <w:rPr>
          <w:i/>
          <w:sz w:val="24"/>
          <w:szCs w:val="24"/>
        </w:rPr>
        <w:t xml:space="preserve"> an extension to</w:t>
      </w:r>
      <w:r w:rsidRPr="00DD35FD">
        <w:rPr>
          <w:i/>
          <w:sz w:val="24"/>
          <w:szCs w:val="24"/>
        </w:rPr>
        <w:t xml:space="preserve"> earlier studies in the region, we estimated the heterogeneous impacts of health expenditure on life expectancy using a quantile regression analysis. Our empirical results reveal that there exists a heterogeneous effects of health expenditure on life expectancy in sub Saharan Africa. The impact appears to be strongest at the lowest quantile</w:t>
      </w:r>
      <w:r>
        <w:rPr>
          <w:i/>
          <w:sz w:val="24"/>
          <w:szCs w:val="24"/>
        </w:rPr>
        <w:t xml:space="preserve"> of life expectancy.</w:t>
      </w:r>
      <w:r w:rsidRPr="00DD35FD">
        <w:rPr>
          <w:i/>
          <w:sz w:val="24"/>
          <w:szCs w:val="24"/>
        </w:rPr>
        <w:t xml:space="preserve"> Other factors that contributes to improved life expectancy in sub Saharan Africa are income, proportion of the population living in the urban area, government effectiveness and political stability.</w:t>
      </w:r>
    </w:p>
    <w:p w14:paraId="1F4580C8" w14:textId="77777777" w:rsidR="00F50987" w:rsidRDefault="00F50987">
      <w:bookmarkStart w:id="0" w:name="_GoBack"/>
      <w:bookmarkEnd w:id="0"/>
    </w:p>
    <w:sectPr w:rsidR="00F50987" w:rsidSect="004C7D5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D12"/>
    <w:rsid w:val="004C7D52"/>
    <w:rsid w:val="00AF3F84"/>
    <w:rsid w:val="00BB7BDE"/>
    <w:rsid w:val="00F50987"/>
    <w:rsid w:val="00F86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656370"/>
  <w15:chartTrackingRefBased/>
  <w15:docId w15:val="{1A1D6253-2D2B-B14A-A399-417EAE939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86D12"/>
    <w:pPr>
      <w:suppressAutoHyphens/>
      <w:autoSpaceDN w:val="0"/>
      <w:spacing w:after="160"/>
      <w:textAlignment w:val="baseline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623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EKPENYONG, IMOH UDOM (PGR)</dc:creator>
  <cp:keywords/>
  <dc:description/>
  <cp:lastModifiedBy>EKPENYONG, IMOH UDOM (PGR)</cp:lastModifiedBy>
  <cp:revision>1</cp:revision>
  <dcterms:created xsi:type="dcterms:W3CDTF">2020-03-08T09:53:00Z</dcterms:created>
  <dcterms:modified xsi:type="dcterms:W3CDTF">2020-03-08T09:54:00Z</dcterms:modified>
</cp:coreProperties>
</file>