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C2247" w14:textId="77777777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sz w:val="40"/>
          <w:szCs w:val="40"/>
          <w:lang w:val="en-GB"/>
        </w:rPr>
      </w:pPr>
      <w:r>
        <w:rPr>
          <w:rFonts w:ascii="Times New Roman" w:hAnsi="Times New Roman" w:cs="Times New Roman"/>
          <w:sz w:val="40"/>
          <w:szCs w:val="40"/>
          <w:lang w:val="en-GB"/>
        </w:rPr>
        <w:t>Posterior hip pericapsular neurolysis (PHPN) for</w:t>
      </w:r>
    </w:p>
    <w:p w14:paraId="54FBCFC3" w14:textId="77777777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sz w:val="40"/>
          <w:szCs w:val="40"/>
          <w:lang w:val="en-GB"/>
        </w:rPr>
      </w:pPr>
      <w:r>
        <w:rPr>
          <w:rFonts w:ascii="Times New Roman" w:hAnsi="Times New Roman" w:cs="Times New Roman"/>
          <w:sz w:val="40"/>
          <w:szCs w:val="40"/>
          <w:lang w:val="en-GB"/>
        </w:rPr>
        <w:t>inoperable hip fracture: an adjunct to anterior hip</w:t>
      </w:r>
    </w:p>
    <w:p w14:paraId="5B5E611A" w14:textId="77777777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sz w:val="40"/>
          <w:szCs w:val="40"/>
          <w:lang w:val="en-GB"/>
        </w:rPr>
      </w:pPr>
      <w:r>
        <w:rPr>
          <w:rFonts w:ascii="Times New Roman" w:hAnsi="Times New Roman" w:cs="Times New Roman"/>
          <w:sz w:val="40"/>
          <w:szCs w:val="40"/>
          <w:lang w:val="en-GB"/>
        </w:rPr>
        <w:t>pericapsular neurolysis</w:t>
      </w:r>
    </w:p>
    <w:p w14:paraId="4457F64F" w14:textId="7595D088" w:rsidR="005B1606" w:rsidRP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sz w:val="26"/>
          <w:szCs w:val="26"/>
          <w:lang w:val="en-GB"/>
        </w:rPr>
        <w:t>Tony Kwun-tung</w:t>
      </w:r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GB"/>
        </w:rPr>
        <w:t>Ng,</w:t>
      </w:r>
      <w:r>
        <w:rPr>
          <w:rFonts w:ascii="Times New Roman" w:hAnsi="Times New Roman" w:cs="Times New Roman"/>
          <w:sz w:val="17"/>
          <w:szCs w:val="17"/>
          <w:lang w:val="en-GB"/>
        </w:rPr>
        <w:t xml:space="preserve">1,2,3 </w:t>
      </w:r>
      <w:r>
        <w:rPr>
          <w:rFonts w:ascii="Times New Roman" w:hAnsi="Times New Roman" w:cs="Times New Roman"/>
          <w:sz w:val="26"/>
          <w:szCs w:val="26"/>
          <w:lang w:val="en-GB"/>
        </w:rPr>
        <w:t>Philip Peng,</w:t>
      </w:r>
      <w:r>
        <w:rPr>
          <w:rFonts w:ascii="Times New Roman" w:hAnsi="Times New Roman" w:cs="Times New Roman"/>
          <w:sz w:val="17"/>
          <w:szCs w:val="17"/>
          <w:lang w:val="en-GB"/>
        </w:rPr>
        <w:t xml:space="preserve">4 </w:t>
      </w:r>
      <w:r>
        <w:rPr>
          <w:rFonts w:ascii="Times New Roman" w:hAnsi="Times New Roman" w:cs="Times New Roman"/>
          <w:sz w:val="26"/>
          <w:szCs w:val="26"/>
          <w:lang w:val="en-GB"/>
        </w:rPr>
        <w:t>Wing-sang</w:t>
      </w:r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GB"/>
        </w:rPr>
        <w:t>Chan</w:t>
      </w:r>
      <w:r>
        <w:rPr>
          <w:rFonts w:ascii="Times New Roman" w:hAnsi="Times New Roman" w:cs="Times New Roman"/>
          <w:sz w:val="17"/>
          <w:szCs w:val="17"/>
          <w:lang w:val="en-GB"/>
        </w:rPr>
        <w:t>5</w:t>
      </w:r>
    </w:p>
    <w:p w14:paraId="40DC1652" w14:textId="77777777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2E3771"/>
          <w:sz w:val="19"/>
          <w:szCs w:val="19"/>
          <w:lang w:val="en-GB"/>
        </w:rPr>
      </w:pPr>
    </w:p>
    <w:p w14:paraId="0672BB10" w14:textId="7D910E3C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2E3771"/>
          <w:sz w:val="19"/>
          <w:szCs w:val="19"/>
          <w:lang w:val="en-GB"/>
        </w:rPr>
      </w:pPr>
      <w:r>
        <w:rPr>
          <w:rFonts w:ascii="Times New Roman" w:hAnsi="Times New Roman" w:cs="Times New Roman"/>
          <w:color w:val="2E3771"/>
          <w:sz w:val="19"/>
          <w:szCs w:val="19"/>
          <w:lang w:val="en-GB"/>
        </w:rPr>
        <w:t>ABSTRACT</w:t>
      </w:r>
    </w:p>
    <w:p w14:paraId="2DA18C3B" w14:textId="1FCC946E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  <w:r w:rsidRPr="005B1606">
        <w:rPr>
          <w:rFonts w:ascii="Times New Roman" w:hAnsi="Times New Roman" w:cs="Times New Roman"/>
          <w:color w:val="000000"/>
          <w:sz w:val="19"/>
          <w:szCs w:val="19"/>
          <w:u w:val="single"/>
          <w:lang w:val="en-GB"/>
        </w:rPr>
        <w:t xml:space="preserve">Background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The development of anterior hip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neurolysis has made an appreciable impact on the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management of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patients with inoperable hip fracture.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Nonetheless, suboptimal analgesic benefit was still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observed in some patients. We therefore developed a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novel posterior hip pericapsular neurolysis (PHPN) to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complement anterior hip neurolysis in inoperable hip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fracture.</w:t>
      </w:r>
    </w:p>
    <w:p w14:paraId="07BE00B7" w14:textId="77777777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</w:p>
    <w:p w14:paraId="4959D6F0" w14:textId="79D03168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  <w:r w:rsidRPr="005B1606">
        <w:rPr>
          <w:rFonts w:ascii="Times New Roman" w:hAnsi="Times New Roman" w:cs="Times New Roman"/>
          <w:color w:val="000000"/>
          <w:sz w:val="19"/>
          <w:szCs w:val="19"/>
          <w:u w:val="single"/>
          <w:lang w:val="en-GB"/>
        </w:rPr>
        <w:t>Methods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In this retrospective review, we </w:t>
      </w:r>
      <w:proofErr w:type="spellStart"/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analyzed</w:t>
      </w:r>
      <w:proofErr w:type="spellEnd"/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patients who responded </w:t>
      </w:r>
      <w:proofErr w:type="spellStart"/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suboptimally</w:t>
      </w:r>
      <w:proofErr w:type="spellEnd"/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(defined as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composite pain score moderate or higher on hip flexion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80 ) to the anterior hip neurolysis from July 2019 to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March 2021. The patients received additional PHPN if the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composite pain score was suboptimal. The percentage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of patients with dynamic composite pain scores on hip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flexion to 80  and on gentle hip external and internal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rotation on post-intervention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day 5 was then evaluated.</w:t>
      </w:r>
    </w:p>
    <w:p w14:paraId="48F41B83" w14:textId="77777777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</w:p>
    <w:p w14:paraId="4F009518" w14:textId="01C64CFF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  <w:r w:rsidRPr="005B1606">
        <w:rPr>
          <w:rFonts w:ascii="Times New Roman" w:hAnsi="Times New Roman" w:cs="Times New Roman"/>
          <w:color w:val="000000"/>
          <w:sz w:val="19"/>
          <w:szCs w:val="19"/>
          <w:u w:val="single"/>
          <w:lang w:val="en-GB"/>
        </w:rPr>
        <w:t>Results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Among the 70 patients who were reviewed in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the study period, 20 patients who partially responded to</w:t>
      </w:r>
    </w:p>
    <w:p w14:paraId="02B418A8" w14:textId="0C80FC89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anterior hip neurolysis received an addition of diagnostic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posterior hip pericapsular block. Eighteen patients were</w:t>
      </w:r>
    </w:p>
    <w:p w14:paraId="167AAB4C" w14:textId="77AF05DA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the positive responders and PHPN was then performed.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Among the PHPN recipients, a high percentage with</w:t>
      </w:r>
    </w:p>
    <w:p w14:paraId="6D5D6AF3" w14:textId="5D27253D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satisfactory dynamic pain control was observed with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78% on hip flexion 80  and 83% on hip external/internal rotation on day 5 following the intervention. No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procedural adverse event was noted.</w:t>
      </w:r>
    </w:p>
    <w:p w14:paraId="6A3D6CBB" w14:textId="77777777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</w:p>
    <w:p w14:paraId="6646B9AA" w14:textId="120259B3" w:rsidR="005B1606" w:rsidRDefault="005B1606" w:rsidP="005B160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  <w:r w:rsidRPr="005B1606">
        <w:rPr>
          <w:rFonts w:ascii="Times New Roman" w:hAnsi="Times New Roman" w:cs="Times New Roman"/>
          <w:color w:val="000000"/>
          <w:sz w:val="19"/>
          <w:szCs w:val="19"/>
          <w:u w:val="single"/>
          <w:lang w:val="en-GB"/>
        </w:rPr>
        <w:t xml:space="preserve">Conclusions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While most patients responded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satisfactorily to anterior hip neurolysis, we concluded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PHPN could be an effective adjunct to manage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suboptimal pain control after anterior hip neurolysis in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inoperable hip fracture.</w:t>
      </w:r>
    </w:p>
    <w:p w14:paraId="14E780BB" w14:textId="77777777" w:rsidR="005B1606" w:rsidRDefault="005B1606" w:rsidP="005B1606">
      <w:pPr>
        <w:rPr>
          <w:rFonts w:ascii="Times New Roman" w:hAnsi="Times New Roman" w:cs="Times New Roman"/>
          <w:color w:val="000000"/>
          <w:sz w:val="19"/>
          <w:szCs w:val="19"/>
          <w:lang w:val="en-GB"/>
        </w:rPr>
      </w:pPr>
    </w:p>
    <w:p w14:paraId="2384321C" w14:textId="4B158DA3" w:rsidR="004E4859" w:rsidRDefault="005B1606" w:rsidP="005B1606">
      <w:r>
        <w:rPr>
          <w:rFonts w:ascii="Times New Roman" w:hAnsi="Times New Roman" w:cs="Times New Roman"/>
          <w:color w:val="000000"/>
          <w:sz w:val="19"/>
          <w:szCs w:val="19"/>
          <w:lang w:val="en-GB"/>
        </w:rPr>
        <w:t>Trial registration number NTWC/REC/21061.</w:t>
      </w:r>
    </w:p>
    <w:sectPr w:rsidR="004E4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06"/>
    <w:rsid w:val="004E4859"/>
    <w:rsid w:val="005B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A50F4E"/>
  <w15:chartTrackingRefBased/>
  <w15:docId w15:val="{3A6B09B6-7F0A-7543-8A04-751B29D9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Ng</dc:creator>
  <cp:keywords/>
  <dc:description/>
  <cp:lastModifiedBy>Tony Ng</cp:lastModifiedBy>
  <cp:revision>1</cp:revision>
  <dcterms:created xsi:type="dcterms:W3CDTF">2021-11-11T07:48:00Z</dcterms:created>
  <dcterms:modified xsi:type="dcterms:W3CDTF">2021-11-11T07:51:00Z</dcterms:modified>
</cp:coreProperties>
</file>