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0DA9" w14:textId="4E8D0890" w:rsidR="00FD6981" w:rsidRPr="00FD6981" w:rsidRDefault="00A63AE9" w:rsidP="00A63AE9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color w:val="131413"/>
          <w:sz w:val="28"/>
          <w:szCs w:val="28"/>
        </w:rPr>
      </w:pPr>
      <w:r w:rsidRPr="00FD6981">
        <w:rPr>
          <w:rFonts w:asciiTheme="minorBidi" w:hAnsiTheme="minorBidi"/>
          <w:color w:val="131413"/>
          <w:sz w:val="28"/>
          <w:szCs w:val="28"/>
        </w:rPr>
        <w:t>PLATELET-RICH PLASMA</w:t>
      </w:r>
      <w:r>
        <w:rPr>
          <w:rFonts w:asciiTheme="minorBidi" w:hAnsiTheme="minorBidi"/>
          <w:color w:val="131413"/>
          <w:sz w:val="28"/>
          <w:szCs w:val="28"/>
        </w:rPr>
        <w:t xml:space="preserve"> IN REPRODUCTIVE MEDICINE</w:t>
      </w:r>
      <w:r w:rsidRPr="00FD6981">
        <w:rPr>
          <w:rFonts w:asciiTheme="minorBidi" w:hAnsiTheme="minorBidi"/>
          <w:color w:val="131413"/>
          <w:sz w:val="28"/>
          <w:szCs w:val="28"/>
        </w:rPr>
        <w:t xml:space="preserve">: CURRENT </w:t>
      </w:r>
      <w:r w:rsidR="00FD6981" w:rsidRPr="00FD6981">
        <w:rPr>
          <w:rFonts w:asciiTheme="minorBidi" w:hAnsiTheme="minorBidi"/>
          <w:color w:val="131413"/>
          <w:sz w:val="28"/>
          <w:szCs w:val="28"/>
        </w:rPr>
        <w:t>STATUS</w:t>
      </w:r>
    </w:p>
    <w:p w14:paraId="5ED46DF6" w14:textId="0CD9CFAF" w:rsidR="00FD6981" w:rsidRPr="00FD6981" w:rsidRDefault="00FD6981" w:rsidP="00FD6981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color w:val="131413"/>
          <w:sz w:val="28"/>
          <w:szCs w:val="28"/>
        </w:rPr>
      </w:pPr>
      <w:r>
        <w:rPr>
          <w:rFonts w:asciiTheme="minorBidi" w:hAnsiTheme="minorBidi"/>
          <w:color w:val="131413"/>
          <w:sz w:val="28"/>
          <w:szCs w:val="28"/>
        </w:rPr>
        <w:t xml:space="preserve">Prof. </w:t>
      </w:r>
      <w:r w:rsidRPr="00FD6981">
        <w:rPr>
          <w:rFonts w:asciiTheme="minorBidi" w:hAnsiTheme="minorBidi"/>
          <w:color w:val="131413"/>
          <w:sz w:val="28"/>
          <w:szCs w:val="28"/>
        </w:rPr>
        <w:t>Aboubakr Mohamed Elnashar</w:t>
      </w:r>
    </w:p>
    <w:p w14:paraId="7C4B537F" w14:textId="4DD4F9AB" w:rsidR="00FD6981" w:rsidRPr="00FD6981" w:rsidRDefault="00FD6981" w:rsidP="00FD698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131413"/>
          <w:sz w:val="28"/>
          <w:szCs w:val="28"/>
        </w:rPr>
      </w:pPr>
      <w:r w:rsidRPr="00FD6981">
        <w:rPr>
          <w:rFonts w:asciiTheme="minorBidi" w:hAnsiTheme="minorBidi"/>
          <w:color w:val="131413"/>
          <w:sz w:val="28"/>
          <w:szCs w:val="28"/>
        </w:rPr>
        <w:t>Background: The successful use of PRP in regenerative medicine has led investigators to study its effect in the treatment of conditions like decreased ovarian reserve, poor responders, premature ovarian insufficiency</w:t>
      </w:r>
      <w:r w:rsidR="00A63AE9">
        <w:rPr>
          <w:rFonts w:asciiTheme="minorBidi" w:hAnsiTheme="minorBidi"/>
          <w:color w:val="131413"/>
          <w:sz w:val="28"/>
          <w:szCs w:val="28"/>
        </w:rPr>
        <w:t>, thin endometrium and Aschermann syndrome</w:t>
      </w:r>
    </w:p>
    <w:p w14:paraId="70CF2AEA" w14:textId="647FA029" w:rsidR="00FD6981" w:rsidRPr="00FD6981" w:rsidRDefault="00FD6981" w:rsidP="00FD698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131413"/>
          <w:sz w:val="28"/>
          <w:szCs w:val="28"/>
        </w:rPr>
      </w:pPr>
      <w:r w:rsidRPr="00FD6981">
        <w:rPr>
          <w:rFonts w:asciiTheme="minorBidi" w:hAnsiTheme="minorBidi"/>
          <w:color w:val="131413"/>
          <w:sz w:val="28"/>
          <w:szCs w:val="28"/>
        </w:rPr>
        <w:t xml:space="preserve">Objective: To review the uses of PRP </w:t>
      </w:r>
      <w:r w:rsidR="00A63AE9">
        <w:rPr>
          <w:rFonts w:asciiTheme="minorBidi" w:hAnsiTheme="minorBidi"/>
          <w:color w:val="131413"/>
          <w:sz w:val="28"/>
          <w:szCs w:val="28"/>
        </w:rPr>
        <w:t>(intraovarian &amp; intrauterine)</w:t>
      </w:r>
      <w:r w:rsidR="00A63AE9" w:rsidRPr="00FD6981">
        <w:rPr>
          <w:rFonts w:asciiTheme="minorBidi" w:hAnsiTheme="minorBidi"/>
          <w:color w:val="131413"/>
          <w:sz w:val="28"/>
          <w:szCs w:val="28"/>
        </w:rPr>
        <w:t xml:space="preserve"> in</w:t>
      </w:r>
      <w:r w:rsidRPr="00FD6981">
        <w:rPr>
          <w:rFonts w:asciiTheme="minorBidi" w:hAnsiTheme="minorBidi"/>
          <w:color w:val="131413"/>
          <w:sz w:val="28"/>
          <w:szCs w:val="28"/>
        </w:rPr>
        <w:t xml:space="preserve"> reproductive medicine.</w:t>
      </w:r>
    </w:p>
    <w:p w14:paraId="79228BB4" w14:textId="3C889E57" w:rsidR="00FD6981" w:rsidRPr="00FD6981" w:rsidRDefault="00FD6981" w:rsidP="00FD698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131413"/>
          <w:sz w:val="28"/>
          <w:szCs w:val="28"/>
        </w:rPr>
      </w:pPr>
      <w:r w:rsidRPr="00FD6981">
        <w:rPr>
          <w:rFonts w:asciiTheme="minorBidi" w:hAnsiTheme="minorBidi"/>
          <w:color w:val="131413"/>
          <w:sz w:val="28"/>
          <w:szCs w:val="28"/>
        </w:rPr>
        <w:t>Methods: A literature search for English articles related to the uses of PRP in reproductive medicine,</w:t>
      </w:r>
      <w:r>
        <w:rPr>
          <w:rFonts w:asciiTheme="minorBidi" w:hAnsiTheme="minorBidi"/>
          <w:color w:val="131413"/>
          <w:sz w:val="28"/>
          <w:szCs w:val="28"/>
        </w:rPr>
        <w:t xml:space="preserve"> </w:t>
      </w:r>
      <w:r w:rsidRPr="00FD6981">
        <w:rPr>
          <w:rFonts w:asciiTheme="minorBidi" w:hAnsiTheme="minorBidi"/>
          <w:color w:val="131413"/>
          <w:sz w:val="28"/>
          <w:szCs w:val="28"/>
        </w:rPr>
        <w:t>including articles published in PubMed, from 2000 to</w:t>
      </w:r>
      <w:r w:rsidR="00A4396A" w:rsidRPr="00FD6981">
        <w:rPr>
          <w:rFonts w:asciiTheme="minorBidi" w:hAnsiTheme="minorBidi"/>
          <w:color w:val="131413"/>
          <w:sz w:val="28"/>
          <w:szCs w:val="28"/>
        </w:rPr>
        <w:t xml:space="preserve"> </w:t>
      </w:r>
      <w:r w:rsidR="00A4396A">
        <w:rPr>
          <w:rFonts w:asciiTheme="minorBidi" w:hAnsiTheme="minorBidi"/>
          <w:color w:val="131413"/>
          <w:sz w:val="28"/>
          <w:szCs w:val="28"/>
        </w:rPr>
        <w:t>August</w:t>
      </w:r>
      <w:r w:rsidRPr="00FD6981">
        <w:rPr>
          <w:rFonts w:asciiTheme="minorBidi" w:hAnsiTheme="minorBidi"/>
          <w:color w:val="131413"/>
          <w:sz w:val="28"/>
          <w:szCs w:val="28"/>
        </w:rPr>
        <w:t xml:space="preserve"> 2021.</w:t>
      </w:r>
    </w:p>
    <w:p w14:paraId="276CF165" w14:textId="112FCB71" w:rsidR="00FD6981" w:rsidRPr="00FD6981" w:rsidRDefault="00FD6981" w:rsidP="00A4396A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131413"/>
          <w:sz w:val="28"/>
          <w:szCs w:val="28"/>
        </w:rPr>
      </w:pPr>
      <w:r w:rsidRPr="00FD6981">
        <w:rPr>
          <w:rFonts w:asciiTheme="minorBidi" w:hAnsiTheme="minorBidi"/>
          <w:color w:val="131413"/>
          <w:sz w:val="28"/>
          <w:szCs w:val="28"/>
        </w:rPr>
        <w:t xml:space="preserve">Results: </w:t>
      </w:r>
      <w:r w:rsidR="00A63AE9">
        <w:rPr>
          <w:rFonts w:asciiTheme="minorBidi" w:hAnsiTheme="minorBidi"/>
          <w:color w:val="131413"/>
          <w:sz w:val="28"/>
          <w:szCs w:val="28"/>
        </w:rPr>
        <w:t>For intraovarian PRP: 17</w:t>
      </w:r>
      <w:r w:rsidRPr="00FD6981">
        <w:rPr>
          <w:rFonts w:asciiTheme="minorBidi" w:hAnsiTheme="minorBidi"/>
          <w:color w:val="131413"/>
          <w:sz w:val="28"/>
          <w:szCs w:val="28"/>
        </w:rPr>
        <w:t xml:space="preserve"> studies</w:t>
      </w:r>
      <w:r w:rsidR="00A63AE9">
        <w:rPr>
          <w:rFonts w:asciiTheme="minorBidi" w:hAnsiTheme="minorBidi"/>
          <w:color w:val="131413"/>
          <w:sz w:val="28"/>
          <w:szCs w:val="28"/>
        </w:rPr>
        <w:t xml:space="preserve"> were found</w:t>
      </w:r>
      <w:r w:rsidRPr="00FD6981">
        <w:rPr>
          <w:rFonts w:asciiTheme="minorBidi" w:hAnsiTheme="minorBidi"/>
          <w:color w:val="131413"/>
          <w:sz w:val="28"/>
          <w:szCs w:val="28"/>
        </w:rPr>
        <w:t>: No RCT. Studies were classified according to indication. (1) For diminished ovarian reserve: 6 studies including 369 patients. (2). For poor responders: 3 case series studies including 41 patients with an improvement in ovarian response. (3) For premature ovarian insufficiency: 8 studies including 373 patients.</w:t>
      </w:r>
      <w:r w:rsidR="00A4396A">
        <w:rPr>
          <w:rFonts w:asciiTheme="minorBidi" w:hAnsiTheme="minorBidi"/>
          <w:color w:val="131413"/>
          <w:sz w:val="28"/>
          <w:szCs w:val="28"/>
        </w:rPr>
        <w:t xml:space="preserve"> </w:t>
      </w:r>
      <w:r w:rsidRPr="00FD6981">
        <w:rPr>
          <w:rFonts w:asciiTheme="minorBidi" w:hAnsiTheme="minorBidi"/>
          <w:color w:val="131413"/>
          <w:sz w:val="28"/>
          <w:szCs w:val="28"/>
        </w:rPr>
        <w:t>Ovarian reserve markers were the outcome of all studies with conflicting results. LBR was not determined in the majority of studies.</w:t>
      </w:r>
      <w:r w:rsidR="00A63AE9">
        <w:rPr>
          <w:rFonts w:asciiTheme="minorBidi" w:hAnsiTheme="minorBidi"/>
          <w:color w:val="131413"/>
          <w:sz w:val="28"/>
          <w:szCs w:val="28"/>
        </w:rPr>
        <w:t xml:space="preserve"> For Intrauterine PRP: 15 studies were found. Studies were classified according to indication. 1. For thin endometrium 10 studies</w:t>
      </w:r>
      <w:r w:rsidR="005764E7">
        <w:rPr>
          <w:rFonts w:asciiTheme="minorBidi" w:hAnsiTheme="minorBidi"/>
          <w:color w:val="131413"/>
          <w:sz w:val="28"/>
          <w:szCs w:val="28"/>
        </w:rPr>
        <w:t xml:space="preserve"> including only 3 RCT with an improvement in endometrial thickness. 2. Aschermann syndrome: 4 studies (2 case series &amp; 2 comparative studies) including 51 patients without significant benefit. 3. Chronic endometritis, one case report with successful treatment </w:t>
      </w:r>
    </w:p>
    <w:p w14:paraId="48952CD8" w14:textId="7DC467D4" w:rsidR="00FD6981" w:rsidRPr="00FD6981" w:rsidRDefault="00FD6981" w:rsidP="00FD698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131413"/>
          <w:sz w:val="28"/>
          <w:szCs w:val="28"/>
        </w:rPr>
      </w:pPr>
      <w:r w:rsidRPr="00FD6981">
        <w:rPr>
          <w:rFonts w:asciiTheme="minorBidi" w:hAnsiTheme="minorBidi"/>
          <w:color w:val="131413"/>
          <w:sz w:val="28"/>
          <w:szCs w:val="28"/>
        </w:rPr>
        <w:t>Conclusion: Intraovarian PRP for diminished ovarian reserve, poor ovarian response, or POI is still experimental.</w:t>
      </w:r>
      <w:r>
        <w:rPr>
          <w:rFonts w:asciiTheme="minorBidi" w:hAnsiTheme="minorBidi"/>
          <w:color w:val="131413"/>
          <w:sz w:val="28"/>
          <w:szCs w:val="28"/>
        </w:rPr>
        <w:t xml:space="preserve"> </w:t>
      </w:r>
      <w:r w:rsidR="005764E7">
        <w:rPr>
          <w:rFonts w:asciiTheme="minorBidi" w:hAnsiTheme="minorBidi"/>
          <w:color w:val="131413"/>
          <w:sz w:val="28"/>
          <w:szCs w:val="28"/>
        </w:rPr>
        <w:t>Intrauterine PRP for thin endometrium is promising</w:t>
      </w:r>
      <w:r w:rsidR="00ED4EB2">
        <w:rPr>
          <w:rFonts w:asciiTheme="minorBidi" w:hAnsiTheme="minorBidi"/>
          <w:color w:val="131413"/>
          <w:sz w:val="28"/>
          <w:szCs w:val="28"/>
        </w:rPr>
        <w:t xml:space="preserve">. </w:t>
      </w:r>
      <w:r w:rsidRPr="00FD6981">
        <w:rPr>
          <w:rFonts w:asciiTheme="minorBidi" w:hAnsiTheme="minorBidi"/>
          <w:color w:val="131413"/>
          <w:sz w:val="28"/>
          <w:szCs w:val="28"/>
        </w:rPr>
        <w:t>Well-designed, large RCTS to confirm its efficacy and safety are required.</w:t>
      </w:r>
    </w:p>
    <w:p w14:paraId="6DF2FF23" w14:textId="1DE62D44" w:rsidR="001B636B" w:rsidRPr="00FD6981" w:rsidRDefault="00FD6981" w:rsidP="00FD6981">
      <w:pPr>
        <w:jc w:val="both"/>
        <w:rPr>
          <w:rFonts w:asciiTheme="minorBidi" w:hAnsiTheme="minorBidi"/>
          <w:sz w:val="28"/>
          <w:szCs w:val="28"/>
        </w:rPr>
      </w:pPr>
      <w:r w:rsidRPr="00FD6981">
        <w:rPr>
          <w:rFonts w:asciiTheme="minorBidi" w:hAnsiTheme="minorBidi"/>
          <w:color w:val="131413"/>
          <w:sz w:val="28"/>
          <w:szCs w:val="28"/>
        </w:rPr>
        <w:t>Keywords: PRP, ICSI, Ovary, Platelet-rich plasma</w:t>
      </w:r>
    </w:p>
    <w:sectPr w:rsidR="001B636B" w:rsidRPr="00FD6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D6981"/>
    <w:rsid w:val="001B636B"/>
    <w:rsid w:val="005764E7"/>
    <w:rsid w:val="00A4396A"/>
    <w:rsid w:val="00A63AE9"/>
    <w:rsid w:val="00ED4EB2"/>
    <w:rsid w:val="00FD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CAE31"/>
  <w15:chartTrackingRefBased/>
  <w15:docId w15:val="{40D20DBB-E4DF-45F7-85A0-693A3A5C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abobakr elnashar</dc:creator>
  <cp:keywords/>
  <dc:description/>
  <cp:lastModifiedBy>abobakr elnashar</cp:lastModifiedBy>
  <cp:revision>5</cp:revision>
  <dcterms:created xsi:type="dcterms:W3CDTF">2021-08-30T10:41:00Z</dcterms:created>
  <dcterms:modified xsi:type="dcterms:W3CDTF">2021-08-30T19:56:00Z</dcterms:modified>
</cp:coreProperties>
</file>