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11A6" w:rsidRPr="00722568" w:rsidRDefault="00D911A6" w:rsidP="00722568">
      <w:pPr>
        <w:spacing w:line="360" w:lineRule="auto"/>
        <w:outlineLvl w:val="0"/>
        <w:rPr>
          <w:b/>
          <w:color w:val="4F81BD" w:themeColor="accent1"/>
          <w:sz w:val="44"/>
          <w:szCs w:val="44"/>
        </w:rPr>
      </w:pPr>
      <w:r w:rsidRPr="00722568">
        <w:rPr>
          <w:b/>
          <w:color w:val="4F81BD" w:themeColor="accent1"/>
          <w:sz w:val="44"/>
          <w:szCs w:val="44"/>
        </w:rPr>
        <w:t>Outcome of pregnancy in systemic sclerosis</w:t>
      </w:r>
    </w:p>
    <w:p w:rsidR="00D911A6" w:rsidRPr="00D911A6" w:rsidRDefault="00D911A6" w:rsidP="00D911A6">
      <w:pPr>
        <w:spacing w:line="360" w:lineRule="auto"/>
        <w:rPr>
          <w:rFonts w:ascii="Arial" w:hAnsi="Arial" w:cs="Arial"/>
          <w:i/>
          <w:iCs/>
          <w:sz w:val="18"/>
          <w:szCs w:val="18"/>
        </w:rPr>
      </w:pPr>
      <w:proofErr w:type="spellStart"/>
      <w:r w:rsidRPr="00D911A6">
        <w:rPr>
          <w:rFonts w:ascii="Arial" w:hAnsi="Arial" w:cs="Arial"/>
          <w:sz w:val="18"/>
          <w:szCs w:val="18"/>
        </w:rPr>
        <w:t>Dr</w:t>
      </w:r>
      <w:proofErr w:type="spellEnd"/>
      <w:r w:rsidRPr="00D911A6">
        <w:rPr>
          <w:rFonts w:ascii="Arial" w:hAnsi="Arial" w:cs="Arial"/>
          <w:sz w:val="18"/>
          <w:szCs w:val="18"/>
        </w:rPr>
        <w:t xml:space="preserve"> </w:t>
      </w:r>
      <w:proofErr w:type="spellStart"/>
      <w:r w:rsidRPr="00D911A6">
        <w:rPr>
          <w:rFonts w:ascii="Arial" w:hAnsi="Arial" w:cs="Arial"/>
          <w:sz w:val="18"/>
          <w:szCs w:val="18"/>
        </w:rPr>
        <w:t>Lingling</w:t>
      </w:r>
      <w:proofErr w:type="spellEnd"/>
      <w:r w:rsidRPr="00D911A6">
        <w:rPr>
          <w:rFonts w:ascii="Arial" w:hAnsi="Arial" w:cs="Arial"/>
          <w:sz w:val="18"/>
          <w:szCs w:val="18"/>
        </w:rPr>
        <w:t xml:space="preserve"> Salang, MD, </w:t>
      </w:r>
      <w:proofErr w:type="spellStart"/>
      <w:r w:rsidRPr="00D911A6">
        <w:rPr>
          <w:rFonts w:ascii="Arial" w:hAnsi="Arial" w:cs="Arial"/>
          <w:sz w:val="18"/>
          <w:szCs w:val="18"/>
        </w:rPr>
        <w:t>OB-Gyn</w:t>
      </w:r>
      <w:proofErr w:type="spellEnd"/>
      <w:r w:rsidRPr="00D911A6">
        <w:rPr>
          <w:rFonts w:ascii="Arial" w:hAnsi="Arial" w:cs="Arial"/>
          <w:sz w:val="18"/>
          <w:szCs w:val="18"/>
        </w:rPr>
        <w:t xml:space="preserve">, Faculty of Medicine, </w:t>
      </w:r>
      <w:proofErr w:type="spellStart"/>
      <w:r w:rsidRPr="00D911A6">
        <w:rPr>
          <w:rFonts w:ascii="Arial" w:hAnsi="Arial" w:cs="Arial"/>
          <w:sz w:val="18"/>
          <w:szCs w:val="18"/>
        </w:rPr>
        <w:t>Khon</w:t>
      </w:r>
      <w:proofErr w:type="spellEnd"/>
      <w:r w:rsidRPr="00D911A6">
        <w:rPr>
          <w:rFonts w:ascii="Arial" w:hAnsi="Arial" w:cs="Arial"/>
          <w:sz w:val="18"/>
          <w:szCs w:val="18"/>
        </w:rPr>
        <w:t xml:space="preserve"> </w:t>
      </w:r>
      <w:proofErr w:type="spellStart"/>
      <w:r w:rsidRPr="00D911A6">
        <w:rPr>
          <w:rFonts w:ascii="Arial" w:hAnsi="Arial" w:cs="Arial"/>
          <w:sz w:val="18"/>
          <w:szCs w:val="18"/>
        </w:rPr>
        <w:t>Kaen</w:t>
      </w:r>
      <w:proofErr w:type="spellEnd"/>
      <w:r w:rsidRPr="00D911A6">
        <w:rPr>
          <w:rFonts w:ascii="Arial" w:hAnsi="Arial" w:cs="Arial"/>
          <w:sz w:val="18"/>
          <w:szCs w:val="18"/>
        </w:rPr>
        <w:t xml:space="preserve"> University, Thailand</w:t>
      </w:r>
    </w:p>
    <w:p w:rsidR="00D911A6" w:rsidRPr="00D911A6" w:rsidRDefault="00D911A6" w:rsidP="00D911A6">
      <w:pPr>
        <w:spacing w:line="360" w:lineRule="auto"/>
        <w:rPr>
          <w:rFonts w:ascii="Arial" w:hAnsi="Arial" w:cs="Arial"/>
          <w:i/>
          <w:iCs/>
          <w:sz w:val="18"/>
          <w:szCs w:val="18"/>
        </w:rPr>
      </w:pPr>
      <w:proofErr w:type="spellStart"/>
      <w:r w:rsidRPr="00D911A6">
        <w:rPr>
          <w:rFonts w:ascii="Arial" w:hAnsi="Arial" w:cs="Arial"/>
          <w:sz w:val="18"/>
          <w:szCs w:val="18"/>
        </w:rPr>
        <w:t>Dr</w:t>
      </w:r>
      <w:proofErr w:type="spellEnd"/>
      <w:r w:rsidRPr="00D911A6">
        <w:rPr>
          <w:rFonts w:ascii="Arial" w:hAnsi="Arial" w:cs="Arial"/>
          <w:sz w:val="18"/>
          <w:szCs w:val="18"/>
        </w:rPr>
        <w:t xml:space="preserve"> </w:t>
      </w:r>
      <w:proofErr w:type="spellStart"/>
      <w:r w:rsidRPr="00D911A6">
        <w:rPr>
          <w:rFonts w:ascii="Arial" w:hAnsi="Arial" w:cs="Arial"/>
          <w:sz w:val="18"/>
          <w:szCs w:val="18"/>
        </w:rPr>
        <w:t>Pranorm</w:t>
      </w:r>
      <w:proofErr w:type="spellEnd"/>
      <w:r w:rsidRPr="00D911A6">
        <w:rPr>
          <w:rFonts w:ascii="Arial" w:hAnsi="Arial" w:cs="Arial"/>
          <w:sz w:val="18"/>
          <w:szCs w:val="18"/>
        </w:rPr>
        <w:t xml:space="preserve"> </w:t>
      </w:r>
      <w:proofErr w:type="spellStart"/>
      <w:r w:rsidRPr="00D911A6">
        <w:rPr>
          <w:rFonts w:ascii="Arial" w:hAnsi="Arial" w:cs="Arial"/>
          <w:sz w:val="18"/>
          <w:szCs w:val="18"/>
        </w:rPr>
        <w:t>Buppasiri</w:t>
      </w:r>
      <w:proofErr w:type="spellEnd"/>
      <w:r w:rsidRPr="00D911A6">
        <w:rPr>
          <w:rFonts w:ascii="Arial" w:hAnsi="Arial" w:cs="Arial"/>
          <w:sz w:val="18"/>
          <w:szCs w:val="18"/>
        </w:rPr>
        <w:t xml:space="preserve">, MD, </w:t>
      </w:r>
      <w:proofErr w:type="spellStart"/>
      <w:r w:rsidRPr="00D911A6">
        <w:rPr>
          <w:rFonts w:ascii="Arial" w:hAnsi="Arial" w:cs="Arial"/>
          <w:sz w:val="18"/>
          <w:szCs w:val="18"/>
        </w:rPr>
        <w:t>OB-Gyn</w:t>
      </w:r>
      <w:proofErr w:type="spellEnd"/>
      <w:r w:rsidRPr="00D911A6">
        <w:rPr>
          <w:rFonts w:ascii="Arial" w:hAnsi="Arial" w:cs="Arial"/>
          <w:sz w:val="18"/>
          <w:szCs w:val="18"/>
        </w:rPr>
        <w:t xml:space="preserve">, Faculty of Medicine, </w:t>
      </w:r>
      <w:proofErr w:type="spellStart"/>
      <w:r w:rsidRPr="00D911A6">
        <w:rPr>
          <w:rFonts w:ascii="Arial" w:hAnsi="Arial" w:cs="Arial"/>
          <w:sz w:val="18"/>
          <w:szCs w:val="18"/>
        </w:rPr>
        <w:t>Khon</w:t>
      </w:r>
      <w:proofErr w:type="spellEnd"/>
      <w:r w:rsidRPr="00D911A6">
        <w:rPr>
          <w:rFonts w:ascii="Arial" w:hAnsi="Arial" w:cs="Arial"/>
          <w:sz w:val="18"/>
          <w:szCs w:val="18"/>
        </w:rPr>
        <w:t xml:space="preserve"> </w:t>
      </w:r>
      <w:proofErr w:type="spellStart"/>
      <w:r w:rsidRPr="00D911A6">
        <w:rPr>
          <w:rFonts w:ascii="Arial" w:hAnsi="Arial" w:cs="Arial"/>
          <w:sz w:val="18"/>
          <w:szCs w:val="18"/>
        </w:rPr>
        <w:t>Kaen</w:t>
      </w:r>
      <w:proofErr w:type="spellEnd"/>
      <w:r w:rsidRPr="00D911A6">
        <w:rPr>
          <w:rFonts w:ascii="Arial" w:hAnsi="Arial" w:cs="Arial"/>
          <w:sz w:val="18"/>
          <w:szCs w:val="18"/>
        </w:rPr>
        <w:t xml:space="preserve"> University, Thailand</w:t>
      </w:r>
    </w:p>
    <w:p w:rsidR="00D911A6" w:rsidRPr="00D911A6" w:rsidRDefault="00D911A6" w:rsidP="00D911A6">
      <w:pPr>
        <w:spacing w:line="360" w:lineRule="auto"/>
        <w:rPr>
          <w:rFonts w:ascii="Arial" w:hAnsi="Arial" w:cs="Arial"/>
          <w:sz w:val="18"/>
          <w:szCs w:val="18"/>
        </w:rPr>
      </w:pPr>
      <w:proofErr w:type="spellStart"/>
      <w:r w:rsidRPr="00D911A6">
        <w:rPr>
          <w:rFonts w:ascii="Arial" w:hAnsi="Arial" w:cs="Arial"/>
          <w:sz w:val="18"/>
          <w:szCs w:val="18"/>
        </w:rPr>
        <w:t>Dr</w:t>
      </w:r>
      <w:proofErr w:type="spellEnd"/>
      <w:r w:rsidRPr="00D911A6">
        <w:rPr>
          <w:rFonts w:ascii="Arial" w:hAnsi="Arial" w:cs="Arial"/>
          <w:sz w:val="18"/>
          <w:szCs w:val="18"/>
        </w:rPr>
        <w:t xml:space="preserve"> </w:t>
      </w:r>
      <w:proofErr w:type="spellStart"/>
      <w:r w:rsidRPr="00D911A6">
        <w:rPr>
          <w:rFonts w:ascii="Arial" w:hAnsi="Arial" w:cs="Arial"/>
          <w:sz w:val="18"/>
          <w:szCs w:val="18"/>
        </w:rPr>
        <w:t>Chingching</w:t>
      </w:r>
      <w:proofErr w:type="spellEnd"/>
      <w:r w:rsidRPr="00D911A6">
        <w:rPr>
          <w:rFonts w:ascii="Arial" w:hAnsi="Arial" w:cs="Arial"/>
          <w:sz w:val="18"/>
          <w:szCs w:val="18"/>
        </w:rPr>
        <w:t xml:space="preserve"> </w:t>
      </w:r>
      <w:proofErr w:type="spellStart"/>
      <w:r w:rsidRPr="00D911A6">
        <w:rPr>
          <w:rFonts w:ascii="Arial" w:hAnsi="Arial" w:cs="Arial"/>
          <w:sz w:val="18"/>
          <w:szCs w:val="18"/>
        </w:rPr>
        <w:t>Foocharoen</w:t>
      </w:r>
      <w:proofErr w:type="spellEnd"/>
      <w:r w:rsidRPr="00D911A6">
        <w:rPr>
          <w:rFonts w:ascii="Arial" w:hAnsi="Arial" w:cs="Arial"/>
          <w:sz w:val="18"/>
          <w:szCs w:val="18"/>
        </w:rPr>
        <w:t xml:space="preserve">, MD, Medicine, Faculty of Medicine, </w:t>
      </w:r>
      <w:proofErr w:type="spellStart"/>
      <w:r w:rsidRPr="00D911A6">
        <w:rPr>
          <w:rFonts w:ascii="Arial" w:hAnsi="Arial" w:cs="Arial"/>
          <w:sz w:val="18"/>
          <w:szCs w:val="18"/>
        </w:rPr>
        <w:t>Khon</w:t>
      </w:r>
      <w:proofErr w:type="spellEnd"/>
      <w:r w:rsidRPr="00D911A6">
        <w:rPr>
          <w:rFonts w:ascii="Arial" w:hAnsi="Arial" w:cs="Arial"/>
          <w:sz w:val="18"/>
          <w:szCs w:val="18"/>
        </w:rPr>
        <w:t xml:space="preserve"> </w:t>
      </w:r>
      <w:proofErr w:type="spellStart"/>
      <w:r w:rsidRPr="00D911A6">
        <w:rPr>
          <w:rFonts w:ascii="Arial" w:hAnsi="Arial" w:cs="Arial"/>
          <w:sz w:val="18"/>
          <w:szCs w:val="18"/>
        </w:rPr>
        <w:t>Kaen</w:t>
      </w:r>
      <w:proofErr w:type="spellEnd"/>
      <w:r w:rsidRPr="00D911A6">
        <w:rPr>
          <w:rFonts w:ascii="Arial" w:hAnsi="Arial" w:cs="Arial"/>
          <w:sz w:val="18"/>
          <w:szCs w:val="18"/>
        </w:rPr>
        <w:t xml:space="preserve"> University, Thailand</w:t>
      </w:r>
    </w:p>
    <w:p w:rsidR="00AE3E37" w:rsidRDefault="00AE3E37">
      <w:pPr>
        <w:pStyle w:val="BodyText"/>
        <w:rPr>
          <w:rFonts w:ascii="Arial"/>
          <w:sz w:val="20"/>
        </w:rPr>
      </w:pPr>
    </w:p>
    <w:p w:rsidR="0082403E" w:rsidRDefault="0082403E">
      <w:pPr>
        <w:rPr>
          <w:rFonts w:ascii="Arial"/>
          <w:sz w:val="21"/>
        </w:rPr>
        <w:sectPr w:rsidR="0082403E">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Default="00E74090" w:rsidP="00E74090">
      <w:pPr>
        <w:pStyle w:val="BodyText"/>
        <w:spacing w:before="90" w:line="281" w:lineRule="auto"/>
        <w:ind w:left="102"/>
        <w:jc w:val="both"/>
        <w:rPr>
          <w:rFonts w:ascii="Calibri"/>
          <w:noProof/>
          <w:sz w:val="4"/>
          <w:lang w:val="en-IN" w:eastAsia="en-IN"/>
        </w:rPr>
      </w:pPr>
      <w:r w:rsidRPr="00E74090">
        <w:rPr>
          <w:rFonts w:ascii="Tw Cen MT" w:hAnsi="Tw Cen MT"/>
        </w:rPr>
        <w:t>Statement of the problem:</w:t>
      </w:r>
      <w:r w:rsidRPr="00BA0591">
        <w:rPr>
          <w:rFonts w:ascii="Tw Cen MT" w:hAnsi="Tw Cen MT"/>
          <w:b/>
          <w:bCs/>
        </w:rPr>
        <w:t xml:space="preserve"> </w:t>
      </w:r>
      <w:r w:rsidRPr="00BA0591">
        <w:rPr>
          <w:rFonts w:ascii="Tw Cen MT" w:hAnsi="Tw Cen MT"/>
        </w:rPr>
        <w:t xml:space="preserve">A few studies have been published on the outcome of pregnancy among patients with systemic sclerosis (SSc) but to our knowledge none among Thai patients with SSc. Our objective was to determine the pregnancy outcome </w:t>
      </w:r>
      <w:r w:rsidRPr="00BA0591">
        <w:rPr>
          <w:rFonts w:ascii="Tw Cen MT" w:hAnsi="Tw Cen MT"/>
          <w:bCs/>
        </w:rPr>
        <w:t>among Thai patients with SSc.</w:t>
      </w:r>
      <w:r>
        <w:rPr>
          <w:rFonts w:ascii="Tw Cen MT" w:hAnsi="Tw Cen MT"/>
          <w:bCs/>
        </w:rPr>
        <w:t xml:space="preserve"> </w:t>
      </w:r>
      <w:r w:rsidRPr="00BA0591">
        <w:rPr>
          <w:rFonts w:ascii="Tw Cen MT" w:hAnsi="Tw Cen MT"/>
          <w:szCs w:val="20"/>
        </w:rPr>
        <w:t>Methodology &amp; Theoretical Orientation:</w:t>
      </w:r>
      <w:r>
        <w:rPr>
          <w:rFonts w:ascii="Tw Cen MT" w:hAnsi="Tw Cen MT"/>
          <w:bCs/>
        </w:rPr>
        <w:t xml:space="preserve"> </w:t>
      </w:r>
      <w:r w:rsidRPr="00BA0591">
        <w:rPr>
          <w:rFonts w:ascii="Tw Cen MT" w:hAnsi="Tw Cen MT"/>
          <w:bCs/>
        </w:rPr>
        <w:t xml:space="preserve">A </w:t>
      </w:r>
      <w:r w:rsidRPr="00E74090">
        <w:rPr>
          <w:rFonts w:ascii="Tw Cen MT" w:hAnsi="Tw Cen MT"/>
          <w:bCs/>
        </w:rPr>
        <w:t>11-year</w:t>
      </w:r>
      <w:r w:rsidRPr="00BA0591">
        <w:rPr>
          <w:rFonts w:ascii="Tw Cen MT" w:hAnsi="Tw Cen MT"/>
          <w:bCs/>
        </w:rPr>
        <w:t xml:space="preserve"> retrospective study (between 2007 and 2017) was conducted at </w:t>
      </w:r>
      <w:proofErr w:type="spellStart"/>
      <w:r w:rsidRPr="00BA0591">
        <w:rPr>
          <w:rFonts w:ascii="Tw Cen MT" w:hAnsi="Tw Cen MT"/>
          <w:bCs/>
        </w:rPr>
        <w:t>Srinagarind</w:t>
      </w:r>
      <w:proofErr w:type="spellEnd"/>
      <w:r w:rsidRPr="00BA0591">
        <w:rPr>
          <w:rFonts w:ascii="Tw Cen MT" w:hAnsi="Tw Cen MT"/>
          <w:bCs/>
        </w:rPr>
        <w:t xml:space="preserve"> Hospital, </w:t>
      </w:r>
      <w:proofErr w:type="spellStart"/>
      <w:r w:rsidRPr="00BA0591">
        <w:rPr>
          <w:rFonts w:ascii="Tw Cen MT" w:hAnsi="Tw Cen MT"/>
          <w:bCs/>
        </w:rPr>
        <w:t>Khon</w:t>
      </w:r>
      <w:proofErr w:type="spellEnd"/>
      <w:r w:rsidRPr="00BA0591">
        <w:rPr>
          <w:rFonts w:ascii="Tw Cen MT" w:hAnsi="Tw Cen MT"/>
          <w:bCs/>
        </w:rPr>
        <w:t xml:space="preserve"> </w:t>
      </w:r>
      <w:proofErr w:type="spellStart"/>
      <w:r w:rsidRPr="00BA0591">
        <w:rPr>
          <w:rFonts w:ascii="Tw Cen MT" w:hAnsi="Tw Cen MT"/>
          <w:bCs/>
        </w:rPr>
        <w:t>Kaen</w:t>
      </w:r>
      <w:proofErr w:type="spellEnd"/>
      <w:r w:rsidRPr="00BA0591">
        <w:rPr>
          <w:rFonts w:ascii="Tw Cen MT" w:hAnsi="Tw Cen MT"/>
          <w:bCs/>
        </w:rPr>
        <w:t xml:space="preserve"> University. All pregnant women with SSc were enrolled to evaluate their pregnancy outcomes.</w:t>
      </w:r>
      <w:r>
        <w:rPr>
          <w:rFonts w:ascii="Tw Cen MT" w:hAnsi="Tw Cen MT"/>
          <w:bCs/>
        </w:rPr>
        <w:t xml:space="preserve"> </w:t>
      </w:r>
      <w:r w:rsidRPr="00BA0591">
        <w:rPr>
          <w:rFonts w:ascii="Tw Cen MT" w:hAnsi="Tw Cen MT"/>
        </w:rPr>
        <w:t>Findings:</w:t>
      </w:r>
      <w:r w:rsidRPr="00BA0591">
        <w:rPr>
          <w:rFonts w:ascii="Tw Cen MT" w:hAnsi="Tw Cen MT"/>
          <w:b/>
          <w:bCs/>
        </w:rPr>
        <w:t xml:space="preserve">  </w:t>
      </w:r>
      <w:r w:rsidRPr="00BA0591">
        <w:rPr>
          <w:rFonts w:ascii="Tw Cen MT" w:hAnsi="Tw Cen MT"/>
        </w:rPr>
        <w:t xml:space="preserve">Seven pregnancies from 5 women with SSc were reviewed. The pregnant women were between 23 and 37 years. Four of the 5 had the limited cutaneous SSc subset and two had overlap with other connective tissue diseases. Only 1 patient had pulmonary fibrosis before being pregnant but </w:t>
      </w:r>
      <w:r>
        <w:rPr>
          <w:rFonts w:ascii="Tw Cen MT" w:hAnsi="Tw Cen MT"/>
        </w:rPr>
        <w:t xml:space="preserve">she </w:t>
      </w:r>
      <w:r w:rsidRPr="00BA0591">
        <w:rPr>
          <w:rFonts w:ascii="Tw Cen MT" w:hAnsi="Tw Cen MT"/>
        </w:rPr>
        <w:t>continued the pregnancy without any worsening of the disease. Four of seven SSc pregnant participants required pregnancy termination for uncontrolled autoimmune hemolytic anemia, eclampsia with hemolytic elevated liver enzyme and low platelet (HELLP), fetal distress, and premature rupture of membrane, respectively. The pre-term delivery occurred in 2 pregnant SSc patients and the maternal and fetal outcomes were normal.</w:t>
      </w:r>
      <w:r>
        <w:rPr>
          <w:rFonts w:ascii="Tw Cen MT" w:hAnsi="Tw Cen MT"/>
        </w:rPr>
        <w:t xml:space="preserve"> </w:t>
      </w:r>
      <w:r w:rsidRPr="00BA0591">
        <w:rPr>
          <w:rFonts w:ascii="Tw Cen MT" w:hAnsi="Tw Cen MT"/>
          <w:szCs w:val="20"/>
        </w:rPr>
        <w:t>Conclusion &amp; Significance:</w:t>
      </w:r>
      <w:r w:rsidRPr="00BA0591">
        <w:rPr>
          <w:szCs w:val="20"/>
        </w:rPr>
        <w:t xml:space="preserve"> </w:t>
      </w:r>
      <w:r w:rsidRPr="00BA0591">
        <w:rPr>
          <w:rFonts w:ascii="Tw Cen MT" w:hAnsi="Tw Cen MT"/>
        </w:rPr>
        <w:t xml:space="preserve">The number of pregnant SSc patients in the </w:t>
      </w:r>
      <w:r w:rsidRPr="00E74090">
        <w:rPr>
          <w:rFonts w:ascii="Tw Cen MT" w:hAnsi="Tw Cen MT"/>
        </w:rPr>
        <w:t>11-year historical review was limited</w:t>
      </w:r>
      <w:r w:rsidRPr="00E74090">
        <w:t xml:space="preserve"> </w:t>
      </w:r>
      <w:r w:rsidR="00A9710C" w:rsidRPr="00E74090">
        <w:t xml:space="preserve">previously studied. </w:t>
      </w:r>
      <w:r w:rsidRPr="00E74090">
        <w:t xml:space="preserve"> Most of patents </w:t>
      </w:r>
      <w:r w:rsidRPr="00E74090">
        <w:rPr>
          <w:rFonts w:ascii="Tw Cen MT" w:hAnsi="Tw Cen MT"/>
        </w:rPr>
        <w:t>had an uncomplicated pregnancy but the respective maternal and fetal outcome in those with SSc overlap with other connective tissue disease trended to be worse than in pure SSc.</w:t>
      </w:r>
      <w:r w:rsidRPr="00E74090">
        <w:t xml:space="preserve">  </w:t>
      </w:r>
      <w:r w:rsidRPr="00E74090">
        <w:rPr>
          <w:rFonts w:ascii="Tw Cen MT" w:hAnsi="Tw Cen MT"/>
        </w:rPr>
        <w:t>Family planning is suggested for all reproductive age SSc patients</w:t>
      </w:r>
      <w:r>
        <w:t>.</w:t>
      </w:r>
      <w:r w:rsidRPr="00E74090">
        <w:rPr>
          <w:rFonts w:ascii="Calibri"/>
          <w:noProof/>
          <w:sz w:val="4"/>
          <w:lang w:val="en-IN" w:eastAsia="en-IN"/>
        </w:rPr>
        <w:t xml:space="preserve"> </w:t>
      </w:r>
    </w:p>
    <w:p w:rsidR="00D911A6" w:rsidRDefault="00D911A6" w:rsidP="00E74090">
      <w:pPr>
        <w:pStyle w:val="BodyText"/>
        <w:spacing w:before="90" w:line="281" w:lineRule="auto"/>
        <w:ind w:left="102"/>
        <w:jc w:val="both"/>
        <w:rPr>
          <w:rFonts w:ascii="Calibri"/>
          <w:noProof/>
          <w:sz w:val="4"/>
          <w:lang w:val="en-IN" w:eastAsia="en-IN"/>
        </w:rPr>
      </w:pPr>
    </w:p>
    <w:p w:rsidR="00D911A6" w:rsidRDefault="00D911A6" w:rsidP="00D911A6">
      <w:pPr>
        <w:pStyle w:val="BodyText"/>
        <w:spacing w:before="90" w:line="281" w:lineRule="auto"/>
        <w:ind w:left="102"/>
        <w:jc w:val="both"/>
      </w:pPr>
      <w:r>
        <w:rPr>
          <w:rFonts w:ascii="Arial"/>
          <w:b/>
          <w:color w:val="BF5A14"/>
          <w:sz w:val="20"/>
        </w:rPr>
        <w:t xml:space="preserve">Recent Publications </w:t>
      </w:r>
    </w:p>
    <w:p w:rsidR="00D911A6" w:rsidRDefault="00D911A6" w:rsidP="00D911A6">
      <w:pPr>
        <w:pStyle w:val="Bibliography"/>
        <w:numPr>
          <w:ilvl w:val="0"/>
          <w:numId w:val="5"/>
        </w:numPr>
        <w:rPr>
          <w:rFonts w:asciiTheme="minorHAnsi" w:hAnsiTheme="minorHAnsi" w:cstheme="minorHAnsi"/>
          <w:sz w:val="16"/>
          <w:szCs w:val="16"/>
        </w:rPr>
      </w:pPr>
      <w:r w:rsidRPr="00E74090">
        <w:rPr>
          <w:rFonts w:asciiTheme="minorHAnsi" w:hAnsiTheme="minorHAnsi" w:cstheme="minorHAnsi"/>
          <w:sz w:val="16"/>
          <w:szCs w:val="16"/>
        </w:rPr>
        <w:t xml:space="preserve">Alba MA, Velasco C, </w:t>
      </w:r>
      <w:proofErr w:type="spellStart"/>
      <w:r w:rsidRPr="00E74090">
        <w:rPr>
          <w:rFonts w:asciiTheme="minorHAnsi" w:hAnsiTheme="minorHAnsi" w:cstheme="minorHAnsi"/>
          <w:sz w:val="16"/>
          <w:szCs w:val="16"/>
        </w:rPr>
        <w:t>Simeón</w:t>
      </w:r>
      <w:proofErr w:type="spellEnd"/>
      <w:r w:rsidRPr="00E74090">
        <w:rPr>
          <w:rFonts w:asciiTheme="minorHAnsi" w:hAnsiTheme="minorHAnsi" w:cstheme="minorHAnsi"/>
          <w:sz w:val="16"/>
          <w:szCs w:val="16"/>
        </w:rPr>
        <w:t xml:space="preserve"> CP, </w:t>
      </w:r>
      <w:proofErr w:type="spellStart"/>
      <w:r w:rsidRPr="00E74090">
        <w:rPr>
          <w:rFonts w:asciiTheme="minorHAnsi" w:hAnsiTheme="minorHAnsi" w:cstheme="minorHAnsi"/>
          <w:sz w:val="16"/>
          <w:szCs w:val="16"/>
        </w:rPr>
        <w:t>Fonollosa</w:t>
      </w:r>
      <w:proofErr w:type="spellEnd"/>
      <w:r w:rsidRPr="00E74090">
        <w:rPr>
          <w:rFonts w:asciiTheme="minorHAnsi" w:hAnsiTheme="minorHAnsi" w:cstheme="minorHAnsi"/>
          <w:sz w:val="16"/>
          <w:szCs w:val="16"/>
        </w:rPr>
        <w:t xml:space="preserve"> V, </w:t>
      </w:r>
      <w:proofErr w:type="spellStart"/>
      <w:r w:rsidRPr="00E74090">
        <w:rPr>
          <w:rFonts w:asciiTheme="minorHAnsi" w:hAnsiTheme="minorHAnsi" w:cstheme="minorHAnsi"/>
          <w:sz w:val="16"/>
          <w:szCs w:val="16"/>
        </w:rPr>
        <w:t>Trapiella</w:t>
      </w:r>
      <w:proofErr w:type="spellEnd"/>
      <w:r w:rsidRPr="00E74090">
        <w:rPr>
          <w:rFonts w:asciiTheme="minorHAnsi" w:hAnsiTheme="minorHAnsi" w:cstheme="minorHAnsi"/>
          <w:sz w:val="16"/>
          <w:szCs w:val="16"/>
        </w:rPr>
        <w:t xml:space="preserve"> L, </w:t>
      </w:r>
      <w:proofErr w:type="spellStart"/>
      <w:r w:rsidRPr="00E74090">
        <w:rPr>
          <w:rFonts w:asciiTheme="minorHAnsi" w:hAnsiTheme="minorHAnsi" w:cstheme="minorHAnsi"/>
          <w:sz w:val="16"/>
          <w:szCs w:val="16"/>
        </w:rPr>
        <w:t>Egurbide</w:t>
      </w:r>
      <w:proofErr w:type="spellEnd"/>
      <w:r w:rsidRPr="00E74090">
        <w:rPr>
          <w:rFonts w:asciiTheme="minorHAnsi" w:hAnsiTheme="minorHAnsi" w:cstheme="minorHAnsi"/>
          <w:sz w:val="16"/>
          <w:szCs w:val="16"/>
        </w:rPr>
        <w:t xml:space="preserve"> MV, et al. Early- versus late-onset systemic sclerosis: differences in clinical presentation and outcome in 1037 patients. Medicine (Baltimore). 2014;93(2):73–81. </w:t>
      </w:r>
    </w:p>
    <w:p w:rsidR="00D911A6" w:rsidRDefault="00D911A6" w:rsidP="00D911A6">
      <w:pPr>
        <w:pStyle w:val="Bibliography"/>
        <w:numPr>
          <w:ilvl w:val="0"/>
          <w:numId w:val="5"/>
        </w:numPr>
        <w:rPr>
          <w:rFonts w:asciiTheme="minorHAnsi" w:hAnsiTheme="minorHAnsi" w:cstheme="minorHAnsi"/>
          <w:sz w:val="16"/>
          <w:szCs w:val="16"/>
        </w:rPr>
      </w:pPr>
      <w:r w:rsidRPr="00E74090">
        <w:rPr>
          <w:rFonts w:asciiTheme="minorHAnsi" w:hAnsiTheme="minorHAnsi" w:cstheme="minorHAnsi"/>
          <w:sz w:val="16"/>
          <w:szCs w:val="16"/>
        </w:rPr>
        <w:t xml:space="preserve">American College of Obstetricians and Gynecologists. ACOG Practice bulletin no. 134: fetal growth restriction. </w:t>
      </w:r>
      <w:proofErr w:type="spellStart"/>
      <w:r w:rsidRPr="00E74090">
        <w:rPr>
          <w:rFonts w:asciiTheme="minorHAnsi" w:hAnsiTheme="minorHAnsi" w:cstheme="minorHAnsi"/>
          <w:sz w:val="16"/>
          <w:szCs w:val="16"/>
        </w:rPr>
        <w:t>Obstet</w:t>
      </w:r>
      <w:proofErr w:type="spellEnd"/>
      <w:r w:rsidRPr="00E74090">
        <w:rPr>
          <w:rFonts w:asciiTheme="minorHAnsi" w:hAnsiTheme="minorHAnsi" w:cstheme="minorHAnsi"/>
          <w:sz w:val="16"/>
          <w:szCs w:val="16"/>
        </w:rPr>
        <w:t xml:space="preserve"> Gynecol. 2013;121(5):1122–33.</w:t>
      </w:r>
    </w:p>
    <w:p w:rsidR="00D911A6" w:rsidRDefault="00D911A6" w:rsidP="00D911A6">
      <w:pPr>
        <w:pStyle w:val="Bibliography"/>
        <w:numPr>
          <w:ilvl w:val="0"/>
          <w:numId w:val="5"/>
        </w:numPr>
        <w:rPr>
          <w:rFonts w:asciiTheme="minorHAnsi" w:hAnsiTheme="minorHAnsi" w:cstheme="minorHAnsi"/>
          <w:sz w:val="16"/>
          <w:szCs w:val="16"/>
        </w:rPr>
      </w:pPr>
      <w:r w:rsidRPr="00E74090">
        <w:rPr>
          <w:rFonts w:asciiTheme="minorHAnsi" w:hAnsiTheme="minorHAnsi" w:cstheme="minorHAnsi"/>
          <w:sz w:val="16"/>
          <w:szCs w:val="16"/>
        </w:rPr>
        <w:t xml:space="preserve">Chakravarty EF. Vascular Complications of Systemic Sclerosis during Pregnancy. </w:t>
      </w:r>
      <w:proofErr w:type="spellStart"/>
      <w:r w:rsidRPr="00E74090">
        <w:rPr>
          <w:rFonts w:asciiTheme="minorHAnsi" w:hAnsiTheme="minorHAnsi" w:cstheme="minorHAnsi"/>
          <w:sz w:val="16"/>
          <w:szCs w:val="16"/>
        </w:rPr>
        <w:t>Int</w:t>
      </w:r>
      <w:proofErr w:type="spellEnd"/>
      <w:r w:rsidRPr="00E74090">
        <w:rPr>
          <w:rFonts w:asciiTheme="minorHAnsi" w:hAnsiTheme="minorHAnsi" w:cstheme="minorHAnsi"/>
          <w:sz w:val="16"/>
          <w:szCs w:val="16"/>
        </w:rPr>
        <w:t xml:space="preserve"> J </w:t>
      </w:r>
      <w:proofErr w:type="spellStart"/>
      <w:r w:rsidRPr="00E74090">
        <w:rPr>
          <w:rFonts w:asciiTheme="minorHAnsi" w:hAnsiTheme="minorHAnsi" w:cstheme="minorHAnsi"/>
          <w:sz w:val="16"/>
          <w:szCs w:val="16"/>
        </w:rPr>
        <w:t>Rheumatol</w:t>
      </w:r>
      <w:proofErr w:type="spellEnd"/>
      <w:r w:rsidRPr="00E74090">
        <w:rPr>
          <w:rFonts w:asciiTheme="minorHAnsi" w:hAnsiTheme="minorHAnsi" w:cstheme="minorHAnsi"/>
          <w:sz w:val="16"/>
          <w:szCs w:val="16"/>
        </w:rPr>
        <w:t xml:space="preserve">. 2010;2010. </w:t>
      </w:r>
    </w:p>
    <w:p w:rsidR="00D911A6" w:rsidRPr="00D911A6" w:rsidRDefault="00D911A6" w:rsidP="00D911A6">
      <w:pPr>
        <w:pStyle w:val="Bibliography"/>
        <w:numPr>
          <w:ilvl w:val="0"/>
          <w:numId w:val="5"/>
        </w:numPr>
        <w:rPr>
          <w:rFonts w:asciiTheme="minorHAnsi" w:hAnsiTheme="minorHAnsi" w:cstheme="minorHAnsi"/>
          <w:sz w:val="16"/>
          <w:szCs w:val="16"/>
        </w:rPr>
      </w:pPr>
      <w:proofErr w:type="spellStart"/>
      <w:r w:rsidRPr="00E74090">
        <w:rPr>
          <w:rFonts w:asciiTheme="minorHAnsi" w:hAnsiTheme="minorHAnsi" w:cstheme="minorHAnsi"/>
          <w:sz w:val="16"/>
          <w:szCs w:val="16"/>
        </w:rPr>
        <w:t>Foocharoen</w:t>
      </w:r>
      <w:proofErr w:type="spellEnd"/>
      <w:r w:rsidRPr="00E74090">
        <w:rPr>
          <w:rFonts w:asciiTheme="minorHAnsi" w:hAnsiTheme="minorHAnsi" w:cstheme="minorHAnsi"/>
          <w:sz w:val="16"/>
          <w:szCs w:val="16"/>
        </w:rPr>
        <w:t xml:space="preserve"> C, </w:t>
      </w:r>
      <w:proofErr w:type="spellStart"/>
      <w:r w:rsidRPr="00E74090">
        <w:rPr>
          <w:rFonts w:asciiTheme="minorHAnsi" w:hAnsiTheme="minorHAnsi" w:cstheme="minorHAnsi"/>
          <w:sz w:val="16"/>
          <w:szCs w:val="16"/>
        </w:rPr>
        <w:t>Mahakkanukrauh</w:t>
      </w:r>
      <w:proofErr w:type="spellEnd"/>
      <w:r w:rsidRPr="00E74090">
        <w:rPr>
          <w:rFonts w:asciiTheme="minorHAnsi" w:hAnsiTheme="minorHAnsi" w:cstheme="minorHAnsi"/>
          <w:sz w:val="16"/>
          <w:szCs w:val="16"/>
        </w:rPr>
        <w:t xml:space="preserve"> A, </w:t>
      </w:r>
      <w:proofErr w:type="spellStart"/>
      <w:r w:rsidRPr="00E74090">
        <w:rPr>
          <w:rFonts w:asciiTheme="minorHAnsi" w:hAnsiTheme="minorHAnsi" w:cstheme="minorHAnsi"/>
          <w:sz w:val="16"/>
          <w:szCs w:val="16"/>
        </w:rPr>
        <w:t>Suwannaroj</w:t>
      </w:r>
      <w:proofErr w:type="spellEnd"/>
      <w:r w:rsidRPr="00E74090">
        <w:rPr>
          <w:rFonts w:asciiTheme="minorHAnsi" w:hAnsiTheme="minorHAnsi" w:cstheme="minorHAnsi"/>
          <w:sz w:val="16"/>
          <w:szCs w:val="16"/>
        </w:rPr>
        <w:t xml:space="preserve"> S, </w:t>
      </w:r>
      <w:proofErr w:type="spellStart"/>
      <w:r w:rsidRPr="00E74090">
        <w:rPr>
          <w:rFonts w:asciiTheme="minorHAnsi" w:hAnsiTheme="minorHAnsi" w:cstheme="minorHAnsi"/>
          <w:sz w:val="16"/>
          <w:szCs w:val="16"/>
        </w:rPr>
        <w:t>Nanagara</w:t>
      </w:r>
      <w:proofErr w:type="spellEnd"/>
      <w:r w:rsidRPr="00E74090">
        <w:rPr>
          <w:rFonts w:asciiTheme="minorHAnsi" w:hAnsiTheme="minorHAnsi" w:cstheme="minorHAnsi"/>
          <w:sz w:val="16"/>
          <w:szCs w:val="16"/>
        </w:rPr>
        <w:t xml:space="preserve"> R. Prevalence and clinical features of acute kidney injury in Thai systemic sclerosis patients. KKU Med J. 2016; 2(3):29-35.</w:t>
      </w:r>
    </w:p>
    <w:p w:rsidR="0082403E" w:rsidRDefault="0082403E" w:rsidP="00D911A6">
      <w:pPr>
        <w:rPr>
          <w:rFonts w:ascii="Arial" w:hAnsi="Arial" w:cs="Arial"/>
          <w:b/>
          <w:bCs/>
          <w:color w:val="BF5A14"/>
          <w:sz w:val="20"/>
          <w:szCs w:val="20"/>
        </w:rPr>
      </w:pPr>
    </w:p>
    <w:p w:rsidR="0082403E" w:rsidRDefault="0082403E" w:rsidP="00D911A6">
      <w:pPr>
        <w:rPr>
          <w:rFonts w:ascii="Arial" w:hAnsi="Arial" w:cs="Arial"/>
          <w:b/>
          <w:bCs/>
          <w:color w:val="BF5A14"/>
          <w:sz w:val="20"/>
          <w:szCs w:val="20"/>
        </w:rPr>
      </w:pPr>
    </w:p>
    <w:p w:rsidR="00D911A6" w:rsidRDefault="00D911A6" w:rsidP="00813993">
      <w:pPr>
        <w:ind w:firstLine="102"/>
        <w:rPr>
          <w:rFonts w:ascii="Arial" w:hAnsi="Arial" w:cs="Arial"/>
          <w:b/>
          <w:bCs/>
          <w:color w:val="BF5A14"/>
          <w:sz w:val="20"/>
          <w:szCs w:val="20"/>
        </w:rPr>
      </w:pPr>
      <w:r w:rsidRPr="0082403E">
        <w:rPr>
          <w:rFonts w:ascii="Arial" w:hAnsi="Arial" w:cs="Arial"/>
          <w:b/>
          <w:bCs/>
          <w:color w:val="BF5A14"/>
          <w:sz w:val="20"/>
          <w:szCs w:val="20"/>
        </w:rPr>
        <w:t>Table 1 clinical classification and pregnancy outcomes</w:t>
      </w:r>
    </w:p>
    <w:p w:rsidR="00813993" w:rsidRPr="00813993" w:rsidRDefault="00813993" w:rsidP="00813993">
      <w:pPr>
        <w:ind w:firstLine="102"/>
        <w:rPr>
          <w:rFonts w:ascii="Arial" w:hAnsi="Arial" w:cs="Arial"/>
          <w:b/>
          <w:bCs/>
          <w:color w:val="BF5A14"/>
          <w:sz w:val="20"/>
          <w:szCs w:val="20"/>
        </w:rPr>
      </w:pPr>
    </w:p>
    <w:p w:rsidR="00D911A6" w:rsidRDefault="00813993" w:rsidP="00D911A6">
      <w:pPr>
        <w:pStyle w:val="BodyText"/>
        <w:spacing w:before="90" w:line="281" w:lineRule="auto"/>
        <w:ind w:left="102"/>
        <w:jc w:val="both"/>
        <w:rPr>
          <w:rFonts w:ascii="Arial"/>
          <w:b/>
          <w:color w:val="BF5A14"/>
          <w:sz w:val="20"/>
        </w:rPr>
      </w:pPr>
      <w:r w:rsidRPr="00813993">
        <w:rPr>
          <w:noProof/>
        </w:rPr>
        <w:drawing>
          <wp:inline distT="0" distB="0" distL="0" distR="0" wp14:anchorId="72FC8D8C" wp14:editId="2F7C9E55">
            <wp:extent cx="3390265" cy="2788636"/>
            <wp:effectExtent l="0" t="0" r="635"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03171" cy="2799251"/>
                    </a:xfrm>
                    <a:prstGeom prst="rect">
                      <a:avLst/>
                    </a:prstGeom>
                  </pic:spPr>
                </pic:pic>
              </a:graphicData>
            </a:graphic>
          </wp:inline>
        </w:drawing>
      </w:r>
    </w:p>
    <w:p w:rsidR="00813993" w:rsidRDefault="00813993" w:rsidP="00813993">
      <w:pPr>
        <w:ind w:left="102"/>
        <w:rPr>
          <w:rFonts w:ascii="Tw Cen MT" w:hAnsi="Tw Cen MT"/>
          <w:sz w:val="11"/>
          <w:szCs w:val="11"/>
        </w:rPr>
      </w:pPr>
    </w:p>
    <w:p w:rsidR="00813993" w:rsidRPr="00813993" w:rsidRDefault="00813993" w:rsidP="00813993">
      <w:pPr>
        <w:ind w:left="102"/>
        <w:rPr>
          <w:rFonts w:ascii="Tw Cen MT" w:hAnsi="Tw Cen MT"/>
          <w:sz w:val="11"/>
          <w:szCs w:val="11"/>
        </w:rPr>
      </w:pPr>
      <w:r w:rsidRPr="00813993">
        <w:rPr>
          <w:rFonts w:ascii="Tw Cen MT" w:hAnsi="Tw Cen MT"/>
          <w:sz w:val="11"/>
          <w:szCs w:val="11"/>
        </w:rPr>
        <w:t>SSc systemic sclerosis, SLE systemic lupus erythematosus, PM polymyositis</w:t>
      </w:r>
      <w:proofErr w:type="gramStart"/>
      <w:r w:rsidRPr="00813993">
        <w:rPr>
          <w:rFonts w:ascii="Tw Cen MT" w:hAnsi="Tw Cen MT"/>
          <w:sz w:val="11"/>
          <w:szCs w:val="11"/>
        </w:rPr>
        <w:t xml:space="preserve">, </w:t>
      </w:r>
      <w:r w:rsidRPr="00813993">
        <w:rPr>
          <w:rFonts w:ascii="Tw Cen MT" w:hAnsi="Tw Cen MT"/>
          <w:sz w:val="11"/>
          <w:szCs w:val="11"/>
        </w:rPr>
        <w:t>,</w:t>
      </w:r>
      <w:proofErr w:type="gramEnd"/>
      <w:r w:rsidRPr="00813993">
        <w:rPr>
          <w:rFonts w:ascii="Tw Cen MT" w:hAnsi="Tw Cen MT"/>
          <w:sz w:val="11"/>
          <w:szCs w:val="11"/>
        </w:rPr>
        <w:t xml:space="preserve"> SBP systolic blood pressure, DBP diastolic blood pressure, GA gestational age, ND no data available, PROM premature ruptured of membrane</w:t>
      </w:r>
    </w:p>
    <w:p w:rsidR="00D911A6" w:rsidRPr="00813993" w:rsidRDefault="00813993" w:rsidP="00813993">
      <w:pPr>
        <w:pStyle w:val="Bibliography"/>
        <w:ind w:firstLine="102"/>
        <w:rPr>
          <w:rFonts w:ascii="Tw Cen MT" w:hAnsi="Tw Cen MT" w:cstheme="minorHAnsi"/>
          <w:sz w:val="11"/>
          <w:szCs w:val="11"/>
        </w:rPr>
      </w:pPr>
      <w:r w:rsidRPr="00813993">
        <w:rPr>
          <w:rFonts w:ascii="Tw Cen MT" w:hAnsi="Tw Cen MT" w:cs="Times New Roman"/>
          <w:sz w:val="11"/>
          <w:szCs w:val="11"/>
        </w:rPr>
        <w:t>*follow up and delivery at another center,</w:t>
      </w:r>
      <w:r w:rsidRPr="00B43A10">
        <w:rPr>
          <w:rFonts w:cs="Times New Roman"/>
          <w:sz w:val="20"/>
          <w:szCs w:val="22"/>
        </w:rPr>
        <w:t xml:space="preserve"> </w:t>
      </w:r>
      <w:r w:rsidRPr="00813993">
        <w:rPr>
          <w:rFonts w:ascii="Tw Cen MT" w:hAnsi="Tw Cen MT" w:cs="Times New Roman"/>
          <w:sz w:val="11"/>
          <w:szCs w:val="15"/>
        </w:rPr>
        <w:t>** IUGR intrauterine growth restriction</w:t>
      </w:r>
    </w:p>
    <w:p w:rsidR="00D911A6" w:rsidRDefault="00D911A6" w:rsidP="00E74090">
      <w:pPr>
        <w:pStyle w:val="Bibliography"/>
        <w:ind w:left="426" w:hanging="284"/>
        <w:rPr>
          <w:rFonts w:asciiTheme="minorHAnsi" w:hAnsiTheme="minorHAnsi" w:cstheme="minorHAnsi"/>
          <w:sz w:val="16"/>
          <w:szCs w:val="16"/>
        </w:rPr>
      </w:pPr>
    </w:p>
    <w:p w:rsidR="00813993" w:rsidRPr="00813993" w:rsidRDefault="00813993" w:rsidP="00813993">
      <w:bookmarkStart w:id="0" w:name="_GoBack"/>
      <w:bookmarkEnd w:id="0"/>
    </w:p>
    <w:p w:rsidR="00D911A6" w:rsidRDefault="00D911A6" w:rsidP="00E74090">
      <w:pPr>
        <w:pStyle w:val="Bibliography"/>
        <w:ind w:left="426" w:hanging="284"/>
        <w:rPr>
          <w:rFonts w:asciiTheme="minorHAnsi" w:hAnsiTheme="minorHAnsi" w:cstheme="minorHAnsi"/>
          <w:sz w:val="16"/>
          <w:szCs w:val="16"/>
        </w:rPr>
      </w:pPr>
    </w:p>
    <w:p w:rsidR="00E74090" w:rsidRPr="00E74090" w:rsidRDefault="00E74090" w:rsidP="00E74090">
      <w:pPr>
        <w:pStyle w:val="Bibliography"/>
        <w:ind w:left="426" w:hanging="284"/>
        <w:rPr>
          <w:rFonts w:asciiTheme="minorHAnsi" w:hAnsiTheme="minorHAnsi" w:cstheme="minorHAnsi"/>
          <w:sz w:val="16"/>
          <w:szCs w:val="16"/>
        </w:rPr>
      </w:pPr>
      <w:r>
        <w:rPr>
          <w:rFonts w:asciiTheme="minorHAnsi" w:hAnsiTheme="minorHAnsi" w:cstheme="minorHAnsi"/>
          <w:sz w:val="16"/>
          <w:szCs w:val="16"/>
        </w:rPr>
        <w:t>5.</w:t>
      </w:r>
      <w:r w:rsidRPr="00E74090">
        <w:rPr>
          <w:rFonts w:asciiTheme="minorHAnsi" w:hAnsiTheme="minorHAnsi" w:cstheme="minorHAnsi"/>
          <w:sz w:val="16"/>
          <w:szCs w:val="16"/>
        </w:rPr>
        <w:t xml:space="preserve"> </w:t>
      </w:r>
      <w:r w:rsidRPr="00E74090">
        <w:rPr>
          <w:rFonts w:asciiTheme="minorHAnsi" w:hAnsiTheme="minorHAnsi" w:cstheme="minorHAnsi"/>
          <w:sz w:val="16"/>
          <w:szCs w:val="16"/>
        </w:rPr>
        <w:tab/>
      </w:r>
      <w:proofErr w:type="spellStart"/>
      <w:r w:rsidRPr="00E74090">
        <w:rPr>
          <w:rFonts w:asciiTheme="minorHAnsi" w:hAnsiTheme="minorHAnsi" w:cstheme="minorHAnsi"/>
          <w:sz w:val="16"/>
          <w:szCs w:val="16"/>
        </w:rPr>
        <w:t>Gabbe</w:t>
      </w:r>
      <w:proofErr w:type="spellEnd"/>
      <w:r w:rsidRPr="00E74090">
        <w:rPr>
          <w:rFonts w:asciiTheme="minorHAnsi" w:hAnsiTheme="minorHAnsi" w:cstheme="minorHAnsi"/>
          <w:sz w:val="16"/>
          <w:szCs w:val="16"/>
        </w:rPr>
        <w:t xml:space="preserve"> SG, editor. Collagen vascular disease. In: Obstetrics: normal and problem pregnancies. 6th ed. Philadelphia: Saunders; 2012. p. 994–1013. </w:t>
      </w:r>
    </w:p>
    <w:p w:rsidR="00E74090" w:rsidRDefault="00E74090" w:rsidP="00E74090">
      <w:pPr>
        <w:ind w:left="426" w:hanging="284"/>
        <w:rPr>
          <w:rFonts w:asciiTheme="minorHAnsi" w:hAnsiTheme="minorHAnsi" w:cstheme="minorHAnsi"/>
          <w:sz w:val="16"/>
          <w:szCs w:val="16"/>
        </w:rPr>
      </w:pPr>
      <w:r>
        <w:rPr>
          <w:rFonts w:asciiTheme="minorHAnsi" w:hAnsiTheme="minorHAnsi" w:cstheme="minorHAnsi"/>
          <w:sz w:val="16"/>
          <w:szCs w:val="16"/>
        </w:rPr>
        <w:t>6</w:t>
      </w:r>
      <w:r w:rsidRPr="00E74090">
        <w:rPr>
          <w:rFonts w:asciiTheme="minorHAnsi" w:hAnsiTheme="minorHAnsi" w:cstheme="minorHAnsi"/>
          <w:sz w:val="16"/>
          <w:szCs w:val="16"/>
        </w:rPr>
        <w:t xml:space="preserve">. </w:t>
      </w:r>
      <w:r w:rsidRPr="00E74090">
        <w:rPr>
          <w:rFonts w:asciiTheme="minorHAnsi" w:hAnsiTheme="minorHAnsi" w:cstheme="minorHAnsi"/>
          <w:sz w:val="16"/>
          <w:szCs w:val="16"/>
        </w:rPr>
        <w:tab/>
        <w:t xml:space="preserve">James D, Steer PJ, Weiner CP, </w:t>
      </w:r>
      <w:proofErr w:type="spellStart"/>
      <w:r w:rsidRPr="00E74090">
        <w:rPr>
          <w:rFonts w:asciiTheme="minorHAnsi" w:hAnsiTheme="minorHAnsi" w:cstheme="minorHAnsi"/>
          <w:sz w:val="16"/>
          <w:szCs w:val="16"/>
        </w:rPr>
        <w:t>Gonik</w:t>
      </w:r>
      <w:proofErr w:type="spellEnd"/>
      <w:r w:rsidRPr="00E74090">
        <w:rPr>
          <w:rFonts w:asciiTheme="minorHAnsi" w:hAnsiTheme="minorHAnsi" w:cstheme="minorHAnsi"/>
          <w:sz w:val="16"/>
          <w:szCs w:val="16"/>
        </w:rPr>
        <w:t xml:space="preserve"> B, editors. Autoimmune disease in pregnancy. In: High risk pregnancy: management options. 4th ed. St. Louis, MO: Saunders; 2011. p. 391–402.</w:t>
      </w:r>
    </w:p>
    <w:p w:rsidR="00E74090" w:rsidRPr="00E74090" w:rsidRDefault="00E74090" w:rsidP="00E74090">
      <w:pPr>
        <w:ind w:left="426" w:hanging="284"/>
        <w:rPr>
          <w:rFonts w:asciiTheme="minorHAnsi" w:hAnsiTheme="minorHAnsi" w:cstheme="minorHAnsi"/>
          <w:sz w:val="16"/>
          <w:szCs w:val="16"/>
        </w:rPr>
      </w:pPr>
      <w:r>
        <w:rPr>
          <w:rFonts w:asciiTheme="minorHAnsi" w:hAnsiTheme="minorHAnsi" w:cstheme="minorHAnsi"/>
          <w:sz w:val="16"/>
          <w:szCs w:val="16"/>
        </w:rPr>
        <w:t>7</w:t>
      </w:r>
      <w:r w:rsidRPr="00E74090">
        <w:rPr>
          <w:rFonts w:asciiTheme="minorHAnsi" w:hAnsiTheme="minorHAnsi" w:cstheme="minorHAnsi"/>
          <w:sz w:val="16"/>
          <w:szCs w:val="16"/>
        </w:rPr>
        <w:t xml:space="preserve">. </w:t>
      </w:r>
      <w:r>
        <w:rPr>
          <w:rFonts w:asciiTheme="minorHAnsi" w:hAnsiTheme="minorHAnsi" w:cstheme="minorHAnsi"/>
          <w:sz w:val="16"/>
          <w:szCs w:val="16"/>
        </w:rPr>
        <w:tab/>
      </w:r>
      <w:proofErr w:type="spellStart"/>
      <w:r w:rsidRPr="00E74090">
        <w:rPr>
          <w:rFonts w:asciiTheme="minorHAnsi" w:hAnsiTheme="minorHAnsi" w:cstheme="minorHAnsi"/>
          <w:sz w:val="16"/>
          <w:szCs w:val="16"/>
        </w:rPr>
        <w:t>Preboth</w:t>
      </w:r>
      <w:proofErr w:type="spellEnd"/>
      <w:r w:rsidRPr="00E74090">
        <w:rPr>
          <w:rFonts w:asciiTheme="minorHAnsi" w:hAnsiTheme="minorHAnsi" w:cstheme="minorHAnsi"/>
          <w:sz w:val="16"/>
          <w:szCs w:val="16"/>
        </w:rPr>
        <w:t xml:space="preserve"> M. ACOG guidelines on antepartum fetal surveillance. American College of Obstetricians and Gynecologists. Am Fam Physician. 2000;62(5):1187–8. </w:t>
      </w:r>
    </w:p>
    <w:p w:rsidR="00AE3E37" w:rsidRPr="00E74090" w:rsidRDefault="00E74090" w:rsidP="00D911A6">
      <w:pPr>
        <w:ind w:left="426" w:hanging="284"/>
        <w:rPr>
          <w:rFonts w:asciiTheme="minorHAnsi" w:hAnsiTheme="minorHAnsi" w:cstheme="minorHAnsi"/>
          <w:sz w:val="16"/>
          <w:szCs w:val="16"/>
        </w:rPr>
        <w:sectPr w:rsidR="00AE3E37" w:rsidRPr="00E74090">
          <w:type w:val="continuous"/>
          <w:pgSz w:w="11910" w:h="16840"/>
          <w:pgMar w:top="1740" w:right="600" w:bottom="840" w:left="620" w:header="720" w:footer="720" w:gutter="0"/>
          <w:cols w:num="2" w:space="720" w:equalWidth="0">
            <w:col w:w="5214" w:space="138"/>
            <w:col w:w="5338"/>
          </w:cols>
        </w:sectPr>
      </w:pPr>
      <w:r>
        <w:rPr>
          <w:rFonts w:asciiTheme="minorHAnsi" w:hAnsiTheme="minorHAnsi" w:cstheme="minorHAnsi"/>
          <w:sz w:val="16"/>
          <w:szCs w:val="16"/>
        </w:rPr>
        <w:t>8</w:t>
      </w:r>
      <w:r w:rsidRPr="00E74090">
        <w:rPr>
          <w:rFonts w:asciiTheme="minorHAnsi" w:hAnsiTheme="minorHAnsi" w:cstheme="minorHAnsi"/>
          <w:sz w:val="16"/>
          <w:szCs w:val="16"/>
        </w:rPr>
        <w:t xml:space="preserve">. </w:t>
      </w:r>
      <w:r>
        <w:rPr>
          <w:rFonts w:asciiTheme="minorHAnsi" w:hAnsiTheme="minorHAnsi" w:cstheme="minorHAnsi"/>
          <w:sz w:val="16"/>
          <w:szCs w:val="16"/>
        </w:rPr>
        <w:tab/>
      </w:r>
      <w:proofErr w:type="spellStart"/>
      <w:r w:rsidRPr="00E74090">
        <w:rPr>
          <w:rFonts w:asciiTheme="minorHAnsi" w:hAnsiTheme="minorHAnsi" w:cstheme="minorHAnsi"/>
          <w:sz w:val="16"/>
          <w:szCs w:val="16"/>
        </w:rPr>
        <w:t>Sammaritano</w:t>
      </w:r>
      <w:proofErr w:type="spellEnd"/>
      <w:r w:rsidRPr="00E74090">
        <w:rPr>
          <w:rFonts w:asciiTheme="minorHAnsi" w:hAnsiTheme="minorHAnsi" w:cstheme="minorHAnsi"/>
          <w:sz w:val="16"/>
          <w:szCs w:val="16"/>
        </w:rPr>
        <w:t xml:space="preserve"> LR, </w:t>
      </w:r>
      <w:proofErr w:type="spellStart"/>
      <w:r w:rsidRPr="00E74090">
        <w:rPr>
          <w:rFonts w:asciiTheme="minorHAnsi" w:hAnsiTheme="minorHAnsi" w:cstheme="minorHAnsi"/>
          <w:sz w:val="16"/>
          <w:szCs w:val="16"/>
        </w:rPr>
        <w:t>Bermas</w:t>
      </w:r>
      <w:proofErr w:type="spellEnd"/>
      <w:r w:rsidRPr="00E74090">
        <w:rPr>
          <w:rFonts w:asciiTheme="minorHAnsi" w:hAnsiTheme="minorHAnsi" w:cstheme="minorHAnsi"/>
          <w:sz w:val="16"/>
          <w:szCs w:val="16"/>
        </w:rPr>
        <w:t xml:space="preserve"> BL. Pregnancy in patients with systemic sclerosis. In: Contraception and Pregnancy in Patients with Rheumatic Disease. Springer; 2014. p. 159–70.</w:t>
      </w:r>
    </w:p>
    <w:p w:rsidR="00E74090" w:rsidRPr="00722568" w:rsidRDefault="008756E6" w:rsidP="00722568">
      <w:pPr>
        <w:pStyle w:val="BodyText"/>
        <w:spacing w:line="40" w:lineRule="exact"/>
        <w:ind w:left="2202"/>
        <w:rPr>
          <w:rFonts w:ascii="Calibri"/>
          <w:sz w:val="4"/>
        </w:rPr>
      </w:pPr>
      <w:r>
        <w:rPr>
          <w:noProof/>
        </w:rPr>
        <w:t xml:space="preserve">         </w:t>
      </w:r>
      <w:r w:rsidR="00722568">
        <w:rPr>
          <w:rFonts w:ascii="Calibri"/>
          <w:noProof/>
          <w:sz w:val="4"/>
          <w:lang w:val="en-IN" w:eastAsia="en-IN"/>
        </w:rPr>
        <mc:AlternateContent>
          <mc:Choice Requires="wpg">
            <w:drawing>
              <wp:inline distT="0" distB="0" distL="0" distR="0" wp14:anchorId="01EB0DBF" wp14:editId="317B1528">
                <wp:extent cx="3165475" cy="20223"/>
                <wp:effectExtent l="0" t="0" r="9525" b="571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20223"/>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03B17B" id="Group 4" o:spid="_x0000_s1026" style="width:249.25pt;height:1.6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E74090" w:rsidRPr="00D911A6" w:rsidRDefault="00E74090" w:rsidP="00404E5B">
      <w:pPr>
        <w:spacing w:before="92"/>
        <w:ind w:right="4234"/>
        <w:rPr>
          <w:rFonts w:ascii="Arial"/>
        </w:rPr>
      </w:pPr>
      <w:r w:rsidRPr="00E74090">
        <w:rPr>
          <w:rFonts w:asciiTheme="minorHAnsi" w:hAnsiTheme="minorHAnsi" w:cstheme="minorHAnsi"/>
          <w:b/>
          <w:sz w:val="16"/>
          <w:szCs w:val="16"/>
        </w:rPr>
        <w:t>Photograph</w:t>
      </w:r>
      <w:r w:rsidR="00D911A6" w:rsidRPr="00D911A6">
        <w:rPr>
          <w:rFonts w:ascii="Arial"/>
          <w:color w:val="BF5A14"/>
        </w:rPr>
        <w:t xml:space="preserve"> </w:t>
      </w:r>
    </w:p>
    <w:p w:rsidR="00E74090" w:rsidRDefault="00722568" w:rsidP="00404E5B">
      <w:pPr>
        <w:spacing w:before="92"/>
        <w:ind w:right="4234"/>
        <w:rPr>
          <w:noProof/>
        </w:rPr>
      </w:pPr>
      <w:r w:rsidRPr="00722568">
        <w:rPr>
          <w:noProof/>
          <w:lang w:val="en-IN" w:eastAsia="en-IN"/>
        </w:rPr>
        <w:drawing>
          <wp:anchor distT="0" distB="0" distL="114300" distR="114300" simplePos="0" relativeHeight="251658240" behindDoc="0" locked="0" layoutInCell="1" allowOverlap="1" wp14:anchorId="67AC100D">
            <wp:simplePos x="0" y="0"/>
            <wp:positionH relativeFrom="column">
              <wp:posOffset>0</wp:posOffset>
            </wp:positionH>
            <wp:positionV relativeFrom="paragraph">
              <wp:posOffset>54610</wp:posOffset>
            </wp:positionV>
            <wp:extent cx="577698" cy="615248"/>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7698" cy="615248"/>
                    </a:xfrm>
                    <a:prstGeom prst="rect">
                      <a:avLst/>
                    </a:prstGeom>
                  </pic:spPr>
                </pic:pic>
              </a:graphicData>
            </a:graphic>
            <wp14:sizeRelH relativeFrom="page">
              <wp14:pctWidth>0</wp14:pctWidth>
            </wp14:sizeRelH>
            <wp14:sizeRelV relativeFrom="page">
              <wp14:pctHeight>0</wp14:pctHeight>
            </wp14:sizeRelV>
          </wp:anchor>
        </w:drawing>
      </w:r>
      <w:r w:rsidRPr="00722568">
        <w:rPr>
          <w:rFonts w:ascii="Arial"/>
          <w:color w:val="BF5A14"/>
        </w:rPr>
        <w:t xml:space="preserve"> </w:t>
      </w:r>
    </w:p>
    <w:p w:rsidR="000C057C" w:rsidRDefault="000C057C" w:rsidP="00722568">
      <w:pPr>
        <w:pStyle w:val="NormalWeb"/>
        <w:jc w:val="both"/>
        <w:rPr>
          <w:rFonts w:ascii="Arial"/>
          <w:sz w:val="14"/>
        </w:rPr>
      </w:pPr>
      <w:r>
        <w:rPr>
          <w:rFonts w:ascii="Arial"/>
          <w:color w:val="BF5A14"/>
        </w:rPr>
        <w:t>Biography</w:t>
      </w:r>
      <w:r>
        <w:rPr>
          <w:rFonts w:ascii="Arial"/>
          <w:sz w:val="14"/>
        </w:rPr>
        <w:t xml:space="preserve"> </w:t>
      </w:r>
    </w:p>
    <w:p w:rsidR="00E74090" w:rsidRPr="00722568" w:rsidRDefault="00E74090" w:rsidP="00722568">
      <w:pPr>
        <w:pStyle w:val="NormalWeb"/>
        <w:jc w:val="both"/>
        <w:rPr>
          <w:rFonts w:ascii="open_sans_regular" w:hAnsi="open_sans_regular"/>
          <w:color w:val="555555"/>
        </w:rPr>
      </w:pPr>
      <w:r>
        <w:rPr>
          <w:rFonts w:ascii="Arial"/>
          <w:sz w:val="14"/>
        </w:rPr>
        <w:t>Dr</w:t>
      </w:r>
      <w:r w:rsidR="00722568">
        <w:rPr>
          <w:rFonts w:ascii="Arial"/>
          <w:sz w:val="14"/>
        </w:rPr>
        <w:t>.</w:t>
      </w:r>
      <w:r>
        <w:rPr>
          <w:rFonts w:ascii="Arial"/>
          <w:sz w:val="14"/>
        </w:rPr>
        <w:t xml:space="preserve"> </w:t>
      </w:r>
      <w:proofErr w:type="spellStart"/>
      <w:r w:rsidR="00722568">
        <w:rPr>
          <w:rFonts w:ascii="Arial"/>
          <w:sz w:val="14"/>
        </w:rPr>
        <w:t>Lingling</w:t>
      </w:r>
      <w:proofErr w:type="spellEnd"/>
      <w:r w:rsidR="00722568">
        <w:rPr>
          <w:rFonts w:ascii="Arial"/>
          <w:sz w:val="14"/>
        </w:rPr>
        <w:t xml:space="preserve"> Salang is certified in Reproductive medicine as well as Obstetrics and Gynecology. She has practiced as specialists in reproductive medicine, infertility and endoscopy surgery in </w:t>
      </w:r>
      <w:proofErr w:type="spellStart"/>
      <w:r w:rsidR="00722568">
        <w:rPr>
          <w:rFonts w:ascii="Arial"/>
          <w:sz w:val="14"/>
        </w:rPr>
        <w:t>Khon</w:t>
      </w:r>
      <w:proofErr w:type="spellEnd"/>
      <w:r w:rsidR="00722568">
        <w:rPr>
          <w:rFonts w:ascii="Arial"/>
          <w:sz w:val="14"/>
        </w:rPr>
        <w:t xml:space="preserve"> </w:t>
      </w:r>
      <w:proofErr w:type="spellStart"/>
      <w:r w:rsidR="00722568">
        <w:rPr>
          <w:rFonts w:ascii="Arial"/>
          <w:sz w:val="14"/>
        </w:rPr>
        <w:t>Kaen</w:t>
      </w:r>
      <w:proofErr w:type="spellEnd"/>
      <w:r w:rsidR="00722568">
        <w:rPr>
          <w:rFonts w:ascii="Arial"/>
          <w:sz w:val="14"/>
        </w:rPr>
        <w:t xml:space="preserve"> University, </w:t>
      </w:r>
      <w:proofErr w:type="spellStart"/>
      <w:r w:rsidR="00722568">
        <w:rPr>
          <w:rFonts w:ascii="Arial"/>
          <w:sz w:val="14"/>
        </w:rPr>
        <w:t>Khon</w:t>
      </w:r>
      <w:proofErr w:type="spellEnd"/>
      <w:r w:rsidR="00722568">
        <w:rPr>
          <w:rFonts w:ascii="Arial"/>
          <w:sz w:val="14"/>
        </w:rPr>
        <w:t xml:space="preserve"> </w:t>
      </w:r>
      <w:proofErr w:type="spellStart"/>
      <w:r w:rsidR="00722568">
        <w:rPr>
          <w:rFonts w:ascii="Arial"/>
          <w:sz w:val="14"/>
        </w:rPr>
        <w:t>Kaen</w:t>
      </w:r>
      <w:proofErr w:type="spellEnd"/>
      <w:r w:rsidR="00722568">
        <w:rPr>
          <w:rFonts w:ascii="Arial"/>
          <w:sz w:val="14"/>
        </w:rPr>
        <w:t>, Thailand. Dr. Salang views her role as a fertility specialist consultant in individualized patient care.</w:t>
      </w:r>
      <w:r w:rsidR="00722568" w:rsidRPr="00722568">
        <w:rPr>
          <w:rFonts w:ascii="Arial"/>
          <w:sz w:val="14"/>
        </w:rPr>
        <w:t xml:space="preserve"> </w:t>
      </w:r>
      <w:r w:rsidR="00722568">
        <w:rPr>
          <w:rFonts w:ascii="Arial"/>
          <w:sz w:val="14"/>
        </w:rPr>
        <w:t xml:space="preserve">She has built this model after years of experience in research, evaluation, teaching and </w:t>
      </w:r>
      <w:r w:rsidR="00722568">
        <w:rPr>
          <w:rFonts w:ascii="Arial"/>
          <w:sz w:val="14"/>
        </w:rPr>
        <w:t>administration</w:t>
      </w:r>
      <w:r w:rsidR="00722568">
        <w:rPr>
          <w:rFonts w:ascii="Arial"/>
          <w:sz w:val="14"/>
        </w:rPr>
        <w:t xml:space="preserve"> both education institutions</w:t>
      </w:r>
      <w:r w:rsidR="00722568">
        <w:rPr>
          <w:rFonts w:ascii="Arial"/>
          <w:sz w:val="14"/>
        </w:rPr>
        <w:t xml:space="preserve"> and in hospital.</w:t>
      </w:r>
    </w:p>
    <w:p w:rsidR="00E74090" w:rsidRPr="00722568" w:rsidRDefault="00E74090" w:rsidP="00722568">
      <w:pPr>
        <w:spacing w:before="62"/>
        <w:ind w:left="4217" w:right="4235"/>
        <w:jc w:val="center"/>
        <w:rPr>
          <w:rFonts w:ascii="Arial"/>
          <w:sz w:val="14"/>
        </w:rPr>
      </w:pPr>
      <w:r>
        <w:rPr>
          <w:rFonts w:ascii="Arial"/>
          <w:sz w:val="14"/>
        </w:rPr>
        <w:t>Email:</w:t>
      </w:r>
      <w:r w:rsidR="00D911A6">
        <w:rPr>
          <w:rFonts w:ascii="Arial"/>
          <w:sz w:val="14"/>
        </w:rPr>
        <w:t xml:space="preserve"> </w:t>
      </w:r>
      <w:r w:rsidR="00D911A6">
        <w:rPr>
          <w:rStyle w:val="Hyperlink"/>
          <w:rFonts w:ascii="Arial"/>
          <w:sz w:val="14"/>
        </w:rPr>
        <w:t>slingling@kku.ac.th</w:t>
      </w:r>
    </w:p>
    <w:p w:rsidR="00AE3E37" w:rsidRPr="0009261E" w:rsidRDefault="00292ED9" w:rsidP="0009261E">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5A2E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4DB8" w:rsidRDefault="00254DB8">
      <w:r>
        <w:separator/>
      </w:r>
    </w:p>
  </w:endnote>
  <w:endnote w:type="continuationSeparator" w:id="0">
    <w:p w:rsidR="00254DB8" w:rsidRDefault="00254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ordia New">
    <w:panose1 w:val="020B0300020202020204"/>
    <w:charset w:val="00"/>
    <w:family w:val="swiss"/>
    <w:pitch w:val="variable"/>
    <w:sig w:usb0="81000003" w:usb1="00000000" w:usb2="00000000" w:usb3="00000000" w:csb0="00010001"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open_sans_regular">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4DB8" w:rsidRDefault="00254DB8">
      <w:r>
        <w:separator/>
      </w:r>
    </w:p>
  </w:footnote>
  <w:footnote w:type="continuationSeparator" w:id="0">
    <w:p w:rsidR="00254DB8" w:rsidRDefault="00254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338E7"/>
    <w:multiLevelType w:val="hybridMultilevel"/>
    <w:tmpl w:val="9B045580"/>
    <w:lvl w:ilvl="0" w:tplc="0A0CC90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15:restartNumberingAfterBreak="0">
    <w:nsid w:val="50AA62F2"/>
    <w:multiLevelType w:val="hybridMultilevel"/>
    <w:tmpl w:val="9B045580"/>
    <w:lvl w:ilvl="0" w:tplc="0A0CC90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261E"/>
    <w:rsid w:val="000C057C"/>
    <w:rsid w:val="000E2911"/>
    <w:rsid w:val="001263DF"/>
    <w:rsid w:val="001E763C"/>
    <w:rsid w:val="00254DB8"/>
    <w:rsid w:val="00292ED9"/>
    <w:rsid w:val="00314AFB"/>
    <w:rsid w:val="003B76D9"/>
    <w:rsid w:val="00404E5B"/>
    <w:rsid w:val="00414F7B"/>
    <w:rsid w:val="004355DC"/>
    <w:rsid w:val="004749B4"/>
    <w:rsid w:val="00494130"/>
    <w:rsid w:val="004F3523"/>
    <w:rsid w:val="005973B9"/>
    <w:rsid w:val="005B3A56"/>
    <w:rsid w:val="006060CE"/>
    <w:rsid w:val="0063497F"/>
    <w:rsid w:val="00722568"/>
    <w:rsid w:val="0078738A"/>
    <w:rsid w:val="00813993"/>
    <w:rsid w:val="0082403E"/>
    <w:rsid w:val="00873DF0"/>
    <w:rsid w:val="008756E6"/>
    <w:rsid w:val="009B2D44"/>
    <w:rsid w:val="00A07E82"/>
    <w:rsid w:val="00A9710C"/>
    <w:rsid w:val="00AE3E37"/>
    <w:rsid w:val="00B21A57"/>
    <w:rsid w:val="00C33602"/>
    <w:rsid w:val="00CD6F55"/>
    <w:rsid w:val="00D62425"/>
    <w:rsid w:val="00D911A6"/>
    <w:rsid w:val="00DE3104"/>
    <w:rsid w:val="00E7409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7E40B3"/>
  <w15:docId w15:val="{5C9A2AC0-A255-4E48-AB33-D9166320D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22568"/>
    <w:pPr>
      <w:widowControl/>
    </w:pPr>
    <w:rPr>
      <w:rFonts w:ascii="Times New Roman" w:eastAsia="Times New Roman" w:hAnsi="Times New Roman" w:cs="Times New Roman"/>
      <w:sz w:val="24"/>
      <w:szCs w:val="24"/>
      <w:lang w:bidi="th-TH"/>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ibliography">
    <w:name w:val="Bibliography"/>
    <w:basedOn w:val="Normal"/>
    <w:next w:val="Normal"/>
    <w:uiPriority w:val="37"/>
    <w:unhideWhenUsed/>
    <w:rsid w:val="00E74090"/>
    <w:rPr>
      <w:rFonts w:cs="Angsana New"/>
      <w:szCs w:val="28"/>
    </w:rPr>
  </w:style>
  <w:style w:type="paragraph" w:styleId="NormalWeb">
    <w:name w:val="Normal (Web)"/>
    <w:basedOn w:val="Normal"/>
    <w:uiPriority w:val="99"/>
    <w:unhideWhenUsed/>
    <w:rsid w:val="0072256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5039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73605056">
      <w:bodyDiv w:val="1"/>
      <w:marLeft w:val="0"/>
      <w:marRight w:val="0"/>
      <w:marTop w:val="0"/>
      <w:marBottom w:val="0"/>
      <w:divBdr>
        <w:top w:val="none" w:sz="0" w:space="0" w:color="auto"/>
        <w:left w:val="none" w:sz="0" w:space="0" w:color="auto"/>
        <w:bottom w:val="none" w:sz="0" w:space="0" w:color="auto"/>
        <w:right w:val="none" w:sz="0" w:space="0" w:color="auto"/>
      </w:divBdr>
    </w:div>
    <w:div w:id="127586903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krits salang</cp:lastModifiedBy>
  <cp:revision>7</cp:revision>
  <dcterms:created xsi:type="dcterms:W3CDTF">2018-05-30T13:52:00Z</dcterms:created>
  <dcterms:modified xsi:type="dcterms:W3CDTF">2018-05-30T14:29:00Z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