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before="170"/>
      </w:pPr>
      <w:r>
        <w:rPr>
          <w:rFonts w:ascii="Times" w:hAnsi="Times" w:cs="Times"/>
          <w:sz w:val="24"/>
          <w:sz-cs w:val="24"/>
          <w:color w:val="337AB7"/>
        </w:rPr>
        <w:t xml:space="preserve">SARC VS LARC: benefits and compliance</w:t>
      </w:r>
      <w:r>
        <w:rPr>
          <w:rFonts w:ascii="Arial" w:hAnsi="Arial" w:cs="Arial"/>
          <w:sz w:val="24"/>
          <w:sz-cs w:val="24"/>
        </w:rPr>
        <w:t xml:space="preserve"/>
      </w:r>
    </w:p>
    <w:p>
      <w:pPr>
        <w:ind w:left="100" w:right="5987"/>
        <w:spacing w:before="73"/>
      </w:pPr>
      <w:r>
        <w:rPr>
          <w:rFonts w:ascii="Arial" w:hAnsi="Arial" w:cs="Arial"/>
          <w:sz w:val="24"/>
          <w:sz-cs w:val="24"/>
        </w:rPr>
        <w:t xml:space="preserve">Massimo Abbondanza, MD</w:t>
      </w:r>
    </w:p>
    <w:p>
      <w:pPr>
        <w:ind w:left="100" w:right="5987"/>
        <w:spacing w:before="73"/>
      </w:pPr>
      <w:r>
        <w:rPr>
          <w:rFonts w:ascii="Arial" w:hAnsi="Arial" w:cs="Arial"/>
          <w:sz w:val="24"/>
          <w:sz-cs w:val="24"/>
        </w:rPr>
        <w:t xml:space="preserve">SC Consultori Familiari e Pediatrici</w:t>
      </w:r>
    </w:p>
    <w:p>
      <w:pPr>
        <w:ind w:left="100" w:right="5987"/>
        <w:spacing w:before="73"/>
      </w:pPr>
      <w:r>
        <w:rPr>
          <w:rFonts w:ascii="Arial" w:hAnsi="Arial" w:cs="Arial"/>
          <w:sz w:val="24"/>
          <w:sz-cs w:val="24"/>
        </w:rPr>
        <w:t xml:space="preserve">ASL CITTA’ DI TORINO - Torino</w:t>
      </w:r>
    </w:p>
    <w:p>
      <w:pPr>
        <w:ind w:left="100" w:right="5987"/>
        <w:spacing w:before="73"/>
      </w:pPr>
      <w:r>
        <w:rPr>
          <w:rFonts w:ascii="Arial" w:hAnsi="Arial" w:cs="Arial"/>
          <w:sz w:val="24"/>
          <w:sz-cs w:val="24"/>
        </w:rPr>
        <w:t xml:space="preserve">Statement of the Problem: Continuation rates of short-acting contraception (SARC) among european women are low and I evaluated if benefits of long-acting contraception and counseling improve use and compliance.Unintended pregnancy in Europe is about 13.2 million of pregnancies.The purpose of this lecture is to discuss about rate of teenage pregnancy in Europe vs awareness of hormonal contraceptives, percentage of use and misconceptions. Afterwards I examine LARC: various types, characteristics of each method, advantages and disadvantages,few contraindications. Findings: LARC methods are ideal for women at high risk of unintended pregnancy, such as adolescents. Counseling regarding all contraceptives methods should take place at all visits with sexually active adolescents. Increase knowledge and skills-based training opportunities regarding LARC methods for providers are necessary to improve adolescent access to these methods. LARC are ideal as post abortion postpartum and breastfeeding contraception. Finally the importance of models for integrating LARC utilization such as system changes, staff development, patient education.</w:t>
      </w:r>
    </w:p>
    <w:p>
      <w:pPr>
        <w:ind w:left="100" w:right="5987"/>
        <w:spacing w:before="73"/>
      </w:pPr>
      <w:r>
        <w:rPr>
          <w:rFonts w:ascii="Arial" w:hAnsi="Arial" w:cs="Arial"/>
          <w:sz w:val="24"/>
          <w:sz-cs w:val="24"/>
        </w:rPr>
        <w:t xml:space="preserve">1-Park k et al, Nordic Federation of Societies of Obstetrics and Gynecology, AOGS, 2013</w:t>
      </w:r>
    </w:p>
    <w:p>
      <w:pPr>
        <w:ind w:left="100" w:right="5987"/>
        <w:spacing w:before="73"/>
      </w:pPr>
      <w:r>
        <w:rPr>
          <w:rFonts w:ascii="Arial" w:hAnsi="Arial" w:cs="Arial"/>
          <w:sz w:val="24"/>
          <w:sz-cs w:val="24"/>
        </w:rPr>
        <w:t xml:space="preserve">2-Stoddard A et al., Drugs 2011</w:t>
      </w:r>
    </w:p>
    <w:p>
      <w:pPr>
        <w:ind w:left="100" w:right="5987"/>
        <w:spacing w:before="73"/>
      </w:pPr>
      <w:r>
        <w:rPr>
          <w:rFonts w:ascii="Arial" w:hAnsi="Arial" w:cs="Arial"/>
          <w:sz w:val="24"/>
          <w:sz-cs w:val="24"/>
        </w:rPr>
        <w:t xml:space="preserve">3-Atkin K et al, Primary care reccomandations 2015</w:t>
      </w:r>
    </w:p>
    <w:p>
      <w:pPr>
        <w:ind w:left="100" w:right="5987"/>
        <w:spacing w:before="73"/>
      </w:pPr>
      <w:r>
        <w:rPr>
          <w:rFonts w:ascii="Arial" w:hAnsi="Arial" w:cs="Arial"/>
          <w:sz w:val="24"/>
          <w:sz-cs w:val="24"/>
        </w:rPr>
        <w:t xml:space="preserve">4- Parks C et al, AJOG 2016</w:t>
      </w:r>
    </w:p>
    <w:p>
      <w:pPr>
        <w:ind w:left="100" w:right="5987"/>
        <w:spacing w:before="73"/>
      </w:pPr>
      <w:r>
        <w:rPr>
          <w:rFonts w:ascii="Arial" w:hAnsi="Arial" w:cs="Arial"/>
          <w:sz w:val="24"/>
          <w:sz-cs w:val="24"/>
        </w:rPr>
        <w:t xml:space="preserve">5- Cristobal I et al, Eur J Obstet Gynecol Reprod Biol, 2015</w:t>
      </w:r>
    </w:p>
    <w:p>
      <w:pPr>
        <w:ind w:left="100" w:right="5987"/>
        <w:spacing w:before="73"/>
      </w:pPr>
      <w:r>
        <w:rPr>
          <w:rFonts w:ascii="Arial" w:hAnsi="Arial" w:cs="Arial"/>
          <w:sz w:val="24"/>
          <w:sz-cs w:val="24"/>
        </w:rPr>
        <w:t xml:space="preserve">6-McNicholas C et al, Clin Obstet Gynecol 2014</w:t>
      </w:r>
    </w:p>
    <w:p>
      <w:pPr>
        <w:ind w:left="100" w:right="5987"/>
        <w:spacing w:before="73"/>
      </w:pPr>
      <w:r>
        <w:rPr>
          <w:rFonts w:ascii="Arial" w:hAnsi="Arial" w:cs="Arial"/>
          <w:sz w:val="24"/>
          <w:sz-cs w:val="24"/>
        </w:rPr>
        <w:t xml:space="preserve">7-Hathaway M et al, Clinical Ob and Gynecology, 2016</w:t>
      </w:r>
    </w:p>
    <w:p>
      <w:pPr>
        <w:ind w:left="100" w:right="5987"/>
        <w:spacing w:before="73"/>
      </w:pPr>
      <w:r>
        <w:rPr>
          <w:rFonts w:ascii="Arial" w:hAnsi="Arial" w:cs="Arial"/>
          <w:sz w:val="24"/>
          <w:sz-cs w:val="24"/>
        </w:rPr>
        <w:t xml:space="preserve">Biography</w:t>
      </w:r>
    </w:p>
    <w:p>
      <w:pPr>
        <w:ind w:left="100" w:right="5987"/>
        <w:spacing w:before="73"/>
      </w:pPr>
      <w:r>
        <w:rPr>
          <w:rFonts w:ascii="Arial" w:hAnsi="Arial" w:cs="Arial"/>
          <w:sz w:val="24"/>
          <w:sz-cs w:val="24"/>
        </w:rPr>
        <w:t xml:space="preserve">I am a gynecologist who is particularly interested in teenagers, contraception and sexuality. I deal with pregnancy and abortion. I’ve been a specialist for 30 years and I am the coordinator for northern Italy of AGITE  (italian territorial gynecologists association)</w:t>
      </w:r>
    </w:p>
    <w:p>
      <w:pPr>
        <w:ind w:left="100" w:right="5987"/>
        <w:spacing w:before="73"/>
      </w:pPr>
      <w:r>
        <w:rPr>
          <w:rFonts w:ascii="Arial" w:hAnsi="Arial" w:cs="Arial"/>
          <w:sz w:val="24"/>
          <w:sz-cs w:val="24"/>
        </w:rPr>
        <w:t xml:space="preserve"/>
      </w:r>
    </w:p>
    <w:p>
      <w:pPr>
        <w:ind w:left="100" w:right="5987"/>
        <w:spacing w:before="73"/>
      </w:pPr>
      <w:r>
        <w:rPr>
          <w:rFonts w:ascii="Arial" w:hAnsi="Arial" w:cs="Arial"/>
          <w:sz w:val="24"/>
          <w:sz-cs w:val="24"/>
        </w:rPr>
        <w:t xml:space="preserve"/>
      </w:r>
    </w:p>
    <w:p>
      <w:pPr>
        <w:ind w:left="100" w:right="5987"/>
        <w:spacing w:before="73"/>
      </w:pPr>
      <w:r>
        <w:rPr>
          <w:rFonts w:ascii="Arial" w:hAnsi="Arial" w:cs="Arial"/>
          <w:sz w:val="24"/>
          <w:sz-cs w:val="24"/>
        </w:rPr>
        <w:t xml:space="preserve"/>
      </w:r>
    </w:p>
    <w:p>
      <w:pPr>
        <w:ind w:left="100" w:right="5987"/>
        <w:spacing w:before="73"/>
      </w:pPr>
      <w:r>
        <w:rPr>
          <w:rFonts w:ascii="Arial" w:hAnsi="Arial" w:cs="Arial"/>
          <w:sz w:val="24"/>
          <w:sz-cs w:val="24"/>
        </w:rPr>
        <w:t xml:space="preserve"/>
      </w:r>
    </w:p>
    <w:p>
      <w:pPr>
        <w:ind w:left="100" w:right="5987"/>
        <w:spacing w:before="73"/>
      </w:pPr>
      <w:r>
        <w:rPr>
          <w:rFonts w:ascii="Times" w:hAnsi="Times" w:cs="Times"/>
          <w:sz w:val="24"/>
          <w:sz-cs w:val="24"/>
          <w:b/>
        </w:rPr>
        <w:t xml:space="preserve"/>
        <w:br/>
        <w:t xml:space="preserve"/>
      </w:r>
      <w:r>
        <w:rPr>
          <w:rFonts w:ascii="Times" w:hAnsi="Times" w:cs="Times"/>
          <w:sz w:val="24"/>
          <w:sz-cs w:val="24"/>
        </w:rPr>
        <w:t xml:space="preserve"/>
      </w:r>
    </w:p>
    <w:p>
      <w:pPr>
        <w:ind w:right="117"/>
      </w:pPr>
      <w:r>
        <w:rPr>
          <w:rFonts w:ascii="Times" w:hAnsi="Times" w:cs="Times"/>
          <w:sz w:val="24"/>
          <w:sz-cs w:val="24"/>
        </w:rPr>
        <w:t xml:space="preserve"/>
      </w:r>
    </w:p>
    <w:p>
      <w:pPr>
        <w:jc w:val="both"/>
      </w:pPr>
      <w:r>
        <w:rPr>
          <w:rFonts w:ascii="Times" w:hAnsi="Times" w:cs="Times"/>
          <w:sz w:val="24"/>
          <w:sz-cs w:val="24"/>
        </w:rPr>
        <w:t xml:space="preserve">   </w:t>
      </w:r>
    </w:p>
    <w:p>
      <w:pPr/>
      <w:r>
        <w:rPr>
          <w:rFonts w:ascii="Times" w:hAnsi="Times" w:cs="Times"/>
          <w:sz w:val="20"/>
          <w:sz-cs w:val="20"/>
        </w:rPr>
        <w:t xml:space="preserve">         </w:t>
      </w:r>
      <w:r>
        <w:rPr>
          <w:rFonts w:ascii="Times" w:hAnsi="Times" w:cs="Times"/>
          <w:sz w:val="20"/>
          <w:sz-cs w:val="20"/>
          <w:b/>
        </w:rPr>
        <w:t xml:space="preserve"/>
      </w:r>
    </w:p>
    <w:p>
      <w:pPr>
        <w:ind w:left="2202"/>
      </w:pPr>
      <w:r>
        <w:rPr>
          <w:rFonts w:ascii="Times" w:hAnsi="Times" w:cs="Times"/>
          <w:sz w:val="4"/>
          <w:sz-cs w:val="4"/>
        </w:rPr>
        <w:t xml:space="preserve"/>
      </w:r>
    </w:p>
    <w:p>
      <w:pPr>
        <w:ind w:right="4234"/>
        <w:spacing w:before="92"/>
      </w:pPr>
      <w:r>
        <w:rPr>
          <w:rFonts w:ascii="Times" w:hAnsi="Times" w:cs="Times"/>
          <w:sz w:val="24"/>
          <w:sz-cs w:val="24"/>
        </w:rPr>
        <w:t xml:space="preserve">     </w:t>
      </w:r>
    </w:p>
    <w:p>
      <w:pPr/>
      <w:r>
        <w:rPr>
          <w:rFonts w:ascii="Times" w:hAnsi="Times" w:cs="Times"/>
          <w:sz w:val="24"/>
          <w:sz-cs w:val="24"/>
        </w:rPr>
        <w:t xml:space="preserve"/>
      </w:r>
    </w:p>
    <w:p>
      <w:pPr/>
      <w:r>
        <w:rPr>
          <w:rFonts w:ascii="Times" w:hAnsi="Times" w:cs="Times"/>
          <w:sz w:val="24"/>
          <w:sz-cs w:val="24"/>
        </w:rPr>
        <w:t xml:space="preserve"/>
      </w:r>
    </w:p>
    <w:p>
      <w:pPr>
        <w:spacing w:before="7"/>
      </w:pPr>
      <w:r>
        <w:rPr>
          <w:rFonts w:ascii="Times" w:hAnsi="Times" w:cs="Times"/>
          <w:sz w:val="24"/>
          <w:sz-cs w:val="24"/>
        </w:rPr>
        <w:t xml:space="preserve"/>
      </w:r>
    </w:p>
    <w:p>
      <w:pPr>
        <w:ind w:left="100"/>
        <w:spacing w:before="39"/>
      </w:pPr>
      <w:r>
        <w:rPr>
          <w:rFonts w:ascii="Times" w:hAnsi="Times" w:cs="Times"/>
          <w:sz w:val="20"/>
          <w:sz-cs w:val="20"/>
          <w:b/>
        </w:rPr>
        <w:t xml:space="preserve"/>
      </w:r>
    </w:p>
    <w:p>
      <w:pPr/>
      <w:r>
        <w:rPr>
          <w:rFonts w:ascii="Times" w:hAnsi="Times" w:cs="Times"/>
          <w:sz w:val="20"/>
          <w:sz-cs w:val="20"/>
          <w:b/>
        </w:rPr>
        <w:t xml:space="preserve"/>
      </w:r>
    </w:p>
    <w:p>
      <w:pPr>
        <w:spacing w:before="3"/>
      </w:pPr>
      <w:r>
        <w:rPr>
          <w:rFonts w:ascii="Times" w:hAnsi="Times" w:cs="Times"/>
          <w:sz w:val="20"/>
          <w:sz-cs w:val="20"/>
          <w:b/>
        </w:rPr>
        <w:t xml:space="preserve"/>
      </w:r>
    </w:p>
    <w:sectPr>
      <w:pgSz w:w="11905" w:h="16837"/>
      <w:pgMar w:top="1740" w:right="580" w:bottom="840" w:left="62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coreProperties>
</file>

<file path=docProps/meta.xml><?xml version="1.0" encoding="utf-8"?>
<meta xmlns="http://schemas.apple.com/cocoa/2006/metadata">
  <generator>CocoaOOXMLWriter/1348.17</generator>
</meta>
</file>