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26A" w:rsidRDefault="00DB726A" w:rsidP="00DB726A">
      <w:pPr>
        <w:spacing w:before="137" w:after="0" w:line="360" w:lineRule="auto"/>
        <w:ind w:right="227"/>
        <w:jc w:val="both"/>
        <w:rPr>
          <w:rFonts w:asciiTheme="majorBidi" w:eastAsia="Calibri" w:hAnsiTheme="majorBidi" w:cstheme="majorBidi"/>
          <w:b/>
          <w:sz w:val="24"/>
          <w:szCs w:val="24"/>
          <w:u w:val="single"/>
        </w:rPr>
      </w:pPr>
    </w:p>
    <w:p w:rsidR="00DB726A" w:rsidRPr="00DB726A" w:rsidRDefault="00DB726A" w:rsidP="00DB726A">
      <w:pPr>
        <w:spacing w:before="137" w:after="0" w:line="360" w:lineRule="auto"/>
        <w:ind w:right="227"/>
        <w:jc w:val="center"/>
        <w:rPr>
          <w:rFonts w:asciiTheme="majorBidi" w:eastAsia="Calibri" w:hAnsiTheme="majorBidi" w:cstheme="majorBidi"/>
          <w:b/>
          <w:color w:val="C00000"/>
          <w:sz w:val="36"/>
          <w:szCs w:val="36"/>
        </w:rPr>
      </w:pPr>
      <w:r>
        <w:rPr>
          <w:rFonts w:asciiTheme="majorBidi" w:eastAsia="Calibri" w:hAnsiTheme="majorBidi" w:cstheme="majorBidi"/>
          <w:b/>
          <w:color w:val="C00000"/>
          <w:sz w:val="36"/>
          <w:szCs w:val="36"/>
        </w:rPr>
        <w:t>Progesterone Luteal S</w:t>
      </w:r>
      <w:r w:rsidRPr="00DB726A">
        <w:rPr>
          <w:rFonts w:asciiTheme="majorBidi" w:eastAsia="Calibri" w:hAnsiTheme="majorBidi" w:cstheme="majorBidi"/>
          <w:b/>
          <w:color w:val="C00000"/>
          <w:sz w:val="36"/>
          <w:szCs w:val="36"/>
        </w:rPr>
        <w:t>upport and ART Cycles</w:t>
      </w:r>
      <w:r>
        <w:rPr>
          <w:rFonts w:asciiTheme="majorBidi" w:eastAsia="Calibri" w:hAnsiTheme="majorBidi" w:cstheme="majorBidi"/>
          <w:b/>
          <w:color w:val="C00000"/>
          <w:sz w:val="36"/>
          <w:szCs w:val="36"/>
        </w:rPr>
        <w:t xml:space="preserve"> Dilemma</w:t>
      </w:r>
    </w:p>
    <w:p w:rsidR="00DB726A" w:rsidRDefault="00DB726A" w:rsidP="00DB726A">
      <w:pPr>
        <w:spacing w:before="137" w:after="0" w:line="360" w:lineRule="auto"/>
        <w:ind w:right="227"/>
        <w:jc w:val="both"/>
        <w:rPr>
          <w:rFonts w:asciiTheme="majorBidi" w:eastAsia="Calibri" w:hAnsiTheme="majorBidi" w:cstheme="majorBidi"/>
          <w:b/>
          <w:sz w:val="24"/>
          <w:szCs w:val="24"/>
          <w:u w:val="single"/>
        </w:rPr>
      </w:pPr>
    </w:p>
    <w:p w:rsidR="00DB726A" w:rsidRDefault="00DB726A" w:rsidP="00DB726A">
      <w:pPr>
        <w:spacing w:before="137" w:after="0" w:line="360" w:lineRule="auto"/>
        <w:ind w:right="227"/>
        <w:jc w:val="both"/>
        <w:rPr>
          <w:rFonts w:asciiTheme="majorBidi" w:eastAsia="Calibri" w:hAnsiTheme="majorBidi" w:cstheme="majorBidi"/>
          <w:b/>
          <w:sz w:val="24"/>
          <w:szCs w:val="24"/>
          <w:u w:val="single"/>
        </w:rPr>
      </w:pPr>
      <w:r>
        <w:rPr>
          <w:rFonts w:asciiTheme="majorBidi" w:eastAsia="Calibri" w:hAnsiTheme="majorBidi" w:cstheme="majorBidi"/>
          <w:b/>
          <w:sz w:val="24"/>
          <w:szCs w:val="24"/>
          <w:u w:val="single"/>
        </w:rPr>
        <w:t>Background</w:t>
      </w:r>
    </w:p>
    <w:p w:rsidR="00DB726A" w:rsidRPr="00DB726A" w:rsidRDefault="00DB726A" w:rsidP="00DB726A">
      <w:pPr>
        <w:spacing w:before="137" w:after="0" w:line="360" w:lineRule="auto"/>
        <w:ind w:right="227"/>
        <w:jc w:val="both"/>
        <w:rPr>
          <w:rFonts w:asciiTheme="majorBidi" w:eastAsia="Calibri" w:hAnsiTheme="majorBidi" w:cstheme="majorBidi"/>
          <w:b/>
          <w:sz w:val="24"/>
          <w:szCs w:val="24"/>
          <w:u w:val="single"/>
        </w:rPr>
      </w:pPr>
      <w:r w:rsidRPr="00A2100A">
        <w:rPr>
          <w:rFonts w:asciiTheme="majorBidi" w:eastAsia="Calibri Light" w:hAnsiTheme="majorBidi" w:cstheme="majorBidi"/>
          <w:sz w:val="24"/>
          <w:szCs w:val="24"/>
        </w:rPr>
        <w:t xml:space="preserve">It is well known that, dysfunctional luteal phase may result from pituitary down-regulation by </w:t>
      </w:r>
      <w:proofErr w:type="spellStart"/>
      <w:r w:rsidRPr="00A2100A">
        <w:rPr>
          <w:rFonts w:asciiTheme="majorBidi" w:eastAsia="Calibri Light" w:hAnsiTheme="majorBidi" w:cstheme="majorBidi"/>
          <w:sz w:val="24"/>
          <w:szCs w:val="24"/>
        </w:rPr>
        <w:t>GnRH</w:t>
      </w:r>
      <w:proofErr w:type="spellEnd"/>
      <w:r w:rsidRPr="00A2100A">
        <w:rPr>
          <w:rFonts w:asciiTheme="majorBidi" w:eastAsia="Calibri Light" w:hAnsiTheme="majorBidi" w:cstheme="majorBidi"/>
          <w:sz w:val="24"/>
          <w:szCs w:val="24"/>
        </w:rPr>
        <w:t xml:space="preserve"> analogues in ART, therefore to combat such deficiency administration of exogenous progester</w:t>
      </w:r>
      <w:r>
        <w:rPr>
          <w:rFonts w:asciiTheme="majorBidi" w:eastAsia="Calibri Light" w:hAnsiTheme="majorBidi" w:cstheme="majorBidi"/>
          <w:sz w:val="24"/>
          <w:szCs w:val="24"/>
        </w:rPr>
        <w:t xml:space="preserve">one has been successfully used. </w:t>
      </w:r>
      <w:r w:rsidRPr="00A2100A">
        <w:rPr>
          <w:rFonts w:asciiTheme="majorBidi" w:eastAsia="Calibri Light" w:hAnsiTheme="majorBidi" w:cstheme="majorBidi"/>
          <w:sz w:val="24"/>
          <w:szCs w:val="24"/>
        </w:rPr>
        <w:t>Simultaneously, it also improves the implantation and early pregnancy success rates</w:t>
      </w:r>
      <w:r>
        <w:rPr>
          <w:rFonts w:asciiTheme="majorBidi" w:eastAsia="Calibri" w:hAnsiTheme="majorBidi" w:cstheme="majorBidi"/>
          <w:b/>
          <w:sz w:val="24"/>
          <w:szCs w:val="24"/>
          <w:u w:val="single"/>
        </w:rPr>
        <w:t xml:space="preserve">. </w:t>
      </w:r>
      <w:r w:rsidRPr="00A2100A">
        <w:rPr>
          <w:rFonts w:asciiTheme="majorBidi" w:eastAsia="Calibri" w:hAnsiTheme="majorBidi" w:cstheme="majorBidi"/>
          <w:b/>
          <w:sz w:val="24"/>
          <w:szCs w:val="24"/>
          <w:u w:val="single"/>
        </w:rPr>
        <w:t>Objective:</w:t>
      </w:r>
      <w:r w:rsidRPr="00A2100A">
        <w:rPr>
          <w:rFonts w:asciiTheme="majorBidi" w:eastAsia="Calibri" w:hAnsiTheme="majorBidi" w:cstheme="majorBidi"/>
          <w:b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 was to compare the effects of starting P4- luteal support(LS) on day of egg retrieval (ER) or on day of embryo transfer (ET) on the ease of ET and cycle outcome.</w:t>
      </w:r>
    </w:p>
    <w:p w:rsidR="00DB726A" w:rsidRPr="00DB726A" w:rsidRDefault="00DB726A" w:rsidP="00DB726A">
      <w:pPr>
        <w:spacing w:before="137" w:after="0" w:line="360" w:lineRule="auto"/>
        <w:ind w:right="227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A2100A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b/>
          <w:sz w:val="24"/>
          <w:szCs w:val="24"/>
          <w:u w:val="single"/>
        </w:rPr>
        <w:t>Design</w:t>
      </w:r>
      <w:r w:rsidRPr="00A2100A">
        <w:rPr>
          <w:rFonts w:asciiTheme="majorBidi" w:eastAsia="Calibri" w:hAnsiTheme="majorBidi" w:cstheme="majorBidi"/>
          <w:sz w:val="24"/>
          <w:szCs w:val="24"/>
          <w:u w:val="single"/>
        </w:rPr>
        <w:t>: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 RCT [Clinical trial identifier NCT03040830]. Double blinded: clinicians and </w:t>
      </w:r>
      <w:bookmarkStart w:id="0" w:name="_GoBack"/>
      <w:bookmarkEnd w:id="0"/>
      <w:r w:rsidRPr="00A2100A">
        <w:rPr>
          <w:rFonts w:asciiTheme="majorBidi" w:eastAsia="Calibri" w:hAnsiTheme="majorBidi" w:cstheme="majorBidi"/>
          <w:sz w:val="24"/>
          <w:szCs w:val="24"/>
        </w:rPr>
        <w:t>patients</w:t>
      </w:r>
      <w:r>
        <w:rPr>
          <w:rFonts w:asciiTheme="majorBidi" w:eastAsia="Calibri" w:hAnsiTheme="majorBidi" w:cstheme="majorBidi"/>
          <w:sz w:val="24"/>
          <w:szCs w:val="24"/>
        </w:rPr>
        <w:t xml:space="preserve"> at 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Mansoura University hospital and Mansoura Integrated Fertility </w:t>
      </w:r>
      <w:proofErr w:type="gramStart"/>
      <w:r w:rsidRPr="00A2100A">
        <w:rPr>
          <w:rFonts w:asciiTheme="majorBidi" w:eastAsia="Calibri" w:hAnsiTheme="majorBidi" w:cstheme="majorBidi"/>
          <w:sz w:val="24"/>
          <w:szCs w:val="24"/>
        </w:rPr>
        <w:t xml:space="preserve">Centre </w:t>
      </w:r>
      <w:r>
        <w:rPr>
          <w:rFonts w:asciiTheme="majorBidi" w:eastAsia="Calibri" w:hAnsiTheme="majorBidi" w:cstheme="majorBidi"/>
          <w:sz w:val="24"/>
          <w:szCs w:val="24"/>
        </w:rPr>
        <w:t>.</w:t>
      </w:r>
      <w:proofErr w:type="gramEnd"/>
    </w:p>
    <w:p w:rsidR="00DB726A" w:rsidRPr="00A2100A" w:rsidRDefault="00DB726A" w:rsidP="00DB726A">
      <w:pPr>
        <w:spacing w:before="137" w:after="0" w:line="360" w:lineRule="auto"/>
        <w:ind w:right="227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A2100A">
        <w:rPr>
          <w:rFonts w:asciiTheme="majorBidi" w:eastAsia="Calibri" w:hAnsiTheme="majorBidi" w:cstheme="majorBidi"/>
          <w:sz w:val="24"/>
          <w:szCs w:val="24"/>
          <w:u w:val="single"/>
        </w:rPr>
        <w:t>M</w:t>
      </w:r>
      <w:r w:rsidRPr="00A2100A">
        <w:rPr>
          <w:rFonts w:asciiTheme="majorBidi" w:eastAsia="Calibri" w:hAnsiTheme="majorBidi" w:cstheme="majorBidi"/>
          <w:b/>
          <w:sz w:val="24"/>
          <w:szCs w:val="24"/>
          <w:u w:val="single"/>
        </w:rPr>
        <w:t>aterials and methods</w:t>
      </w:r>
      <w:r w:rsidRPr="00A2100A">
        <w:rPr>
          <w:rFonts w:asciiTheme="majorBidi" w:eastAsia="Calibri" w:hAnsiTheme="majorBidi" w:cstheme="majorBidi"/>
          <w:sz w:val="24"/>
          <w:szCs w:val="24"/>
          <w:u w:val="single"/>
        </w:rPr>
        <w:t>: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 A total of 171 eligible embryo transfers were randomly allocated into group</w:t>
      </w:r>
      <w:r w:rsidRPr="00A2100A">
        <w:rPr>
          <w:rFonts w:asciiTheme="majorBidi" w:eastAsia="Calibri" w:hAnsiTheme="majorBidi" w:cstheme="majorBidi"/>
          <w:spacing w:val="25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A</w:t>
      </w:r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(86</w:t>
      </w:r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>)</w:t>
      </w:r>
      <w:r w:rsidRPr="00A2100A">
        <w:rPr>
          <w:rFonts w:asciiTheme="majorBidi" w:eastAsia="Calibri" w:hAnsiTheme="majorBidi" w:cstheme="majorBidi"/>
          <w:spacing w:val="27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starting</w:t>
      </w:r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LS</w:t>
      </w:r>
      <w:r w:rsidRPr="00A2100A">
        <w:rPr>
          <w:rFonts w:asciiTheme="majorBidi" w:eastAsia="Calibri" w:hAnsiTheme="majorBidi" w:cstheme="majorBidi"/>
          <w:spacing w:val="25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as</w:t>
      </w:r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daily</w:t>
      </w:r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IM</w:t>
      </w:r>
      <w:r w:rsidRPr="00A2100A">
        <w:rPr>
          <w:rFonts w:asciiTheme="majorBidi" w:eastAsia="Calibri" w:hAnsiTheme="majorBidi" w:cstheme="majorBidi"/>
          <w:spacing w:val="27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100</w:t>
      </w:r>
      <w:r w:rsidRPr="00A2100A">
        <w:rPr>
          <w:rFonts w:asciiTheme="majorBidi" w:eastAsia="Calibri" w:hAnsiTheme="majorBidi" w:cstheme="majorBidi"/>
          <w:spacing w:val="25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mg</w:t>
      </w:r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 xml:space="preserve"> </w:t>
      </w:r>
      <w:proofErr w:type="spellStart"/>
      <w:r w:rsidRPr="00A2100A">
        <w:rPr>
          <w:rFonts w:asciiTheme="majorBidi" w:eastAsia="Calibri" w:hAnsiTheme="majorBidi" w:cstheme="majorBidi"/>
          <w:sz w:val="24"/>
          <w:szCs w:val="24"/>
        </w:rPr>
        <w:t>prontogest</w:t>
      </w:r>
      <w:proofErr w:type="spellEnd"/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on</w:t>
      </w:r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day</w:t>
      </w:r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of</w:t>
      </w:r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ER</w:t>
      </w:r>
      <w:r w:rsidRPr="00A2100A">
        <w:rPr>
          <w:rFonts w:asciiTheme="majorBidi" w:eastAsia="Calibri" w:hAnsiTheme="majorBidi" w:cstheme="majorBidi"/>
          <w:spacing w:val="27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or</w:t>
      </w:r>
      <w:r w:rsidRPr="00A2100A">
        <w:rPr>
          <w:rFonts w:asciiTheme="majorBidi" w:eastAsia="Calibri" w:hAnsiTheme="majorBidi" w:cstheme="majorBidi"/>
          <w:spacing w:val="26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>group</w:t>
      </w:r>
      <w:r w:rsidRPr="00A2100A">
        <w:rPr>
          <w:rFonts w:asciiTheme="majorBidi" w:eastAsia="Calibri" w:hAnsiTheme="majorBidi" w:cstheme="majorBidi"/>
          <w:spacing w:val="25"/>
          <w:sz w:val="24"/>
          <w:szCs w:val="24"/>
        </w:rPr>
        <w:t xml:space="preserve"> 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B (85) on the day of ET. </w:t>
      </w:r>
    </w:p>
    <w:p w:rsidR="00DB726A" w:rsidRPr="00A2100A" w:rsidRDefault="00DB726A" w:rsidP="00DB726A">
      <w:pPr>
        <w:spacing w:before="137" w:after="0" w:line="360" w:lineRule="auto"/>
        <w:ind w:right="227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A2100A">
        <w:rPr>
          <w:rFonts w:asciiTheme="majorBidi" w:eastAsia="Calibri" w:hAnsiTheme="majorBidi" w:cstheme="majorBidi"/>
          <w:b/>
          <w:sz w:val="24"/>
          <w:szCs w:val="24"/>
          <w:u w:val="single"/>
        </w:rPr>
        <w:t>The primary outcome</w:t>
      </w:r>
      <w:r w:rsidRPr="00A2100A">
        <w:rPr>
          <w:rFonts w:asciiTheme="majorBidi" w:eastAsia="Calibri" w:hAnsiTheme="majorBidi" w:cstheme="majorBidi"/>
          <w:b/>
          <w:sz w:val="24"/>
          <w:szCs w:val="24"/>
        </w:rPr>
        <w:t>;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 the overall ratio of difficult ET and the ratios in day 3 and </w:t>
      </w:r>
      <w:r w:rsidRPr="00A2100A">
        <w:rPr>
          <w:rFonts w:asciiTheme="majorBidi" w:eastAsia="Calibri" w:hAnsiTheme="majorBidi" w:cstheme="majorBidi"/>
          <w:spacing w:val="6"/>
          <w:sz w:val="24"/>
          <w:szCs w:val="24"/>
        </w:rPr>
        <w:t>day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5   ET.   </w:t>
      </w:r>
    </w:p>
    <w:p w:rsidR="00DB726A" w:rsidRPr="00A2100A" w:rsidRDefault="00DB726A" w:rsidP="00DB726A">
      <w:pPr>
        <w:spacing w:before="137" w:after="0" w:line="360" w:lineRule="auto"/>
        <w:ind w:right="227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A2100A">
        <w:rPr>
          <w:rFonts w:asciiTheme="majorBidi" w:eastAsia="Calibri" w:hAnsiTheme="majorBidi" w:cstheme="majorBidi"/>
          <w:b/>
          <w:sz w:val="24"/>
          <w:szCs w:val="24"/>
          <w:u w:val="single"/>
        </w:rPr>
        <w:t>The   secondary   outcome;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 the   clinical   pregnancy </w:t>
      </w:r>
      <w:r w:rsidRPr="00A2100A">
        <w:rPr>
          <w:rFonts w:asciiTheme="majorBidi" w:eastAsia="Calibri" w:hAnsiTheme="majorBidi" w:cstheme="majorBidi"/>
          <w:spacing w:val="21"/>
          <w:sz w:val="24"/>
          <w:szCs w:val="24"/>
        </w:rPr>
        <w:t>and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 implantation rates</w:t>
      </w:r>
    </w:p>
    <w:p w:rsidR="00DB726A" w:rsidRPr="00A2100A" w:rsidRDefault="00DB726A" w:rsidP="00DB726A">
      <w:pPr>
        <w:spacing w:before="82" w:after="0"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A2100A">
        <w:rPr>
          <w:rFonts w:asciiTheme="majorBidi" w:eastAsia="Calibri" w:hAnsiTheme="majorBidi" w:cstheme="majorBidi"/>
          <w:b/>
          <w:sz w:val="24"/>
          <w:szCs w:val="24"/>
          <w:u w:val="single"/>
        </w:rPr>
        <w:t>results: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 Features in groups A and B respectively, ER 11.85&amp; 13.25 (p=0.23), mean ET 2.74 &amp; 2.81 (p=0.55). % of blastocyst transfer respectively 50 &amp; 45.8 (p=0.76) </w:t>
      </w:r>
      <w:r w:rsidRPr="00A2100A">
        <w:rPr>
          <w:rFonts w:asciiTheme="majorBidi" w:eastAsia="Calibri" w:hAnsiTheme="majorBidi" w:cstheme="majorBidi"/>
          <w:b/>
          <w:i/>
          <w:sz w:val="24"/>
          <w:szCs w:val="24"/>
        </w:rPr>
        <w:t xml:space="preserve">Primary outcome: </w:t>
      </w:r>
      <w:r w:rsidRPr="00A2100A">
        <w:rPr>
          <w:rFonts w:asciiTheme="majorBidi" w:eastAsia="Calibri" w:hAnsiTheme="majorBidi" w:cstheme="majorBidi"/>
          <w:sz w:val="24"/>
          <w:szCs w:val="24"/>
        </w:rPr>
        <w:t>The overall (%) of difficult ET in A &amp; B were respectively (44.1) &amp; (24.7) (p=0.009). Day 3 difficult ET number (%)</w:t>
      </w:r>
      <w:r w:rsidRPr="00A2100A">
        <w:rPr>
          <w:rFonts w:asciiTheme="majorBidi" w:eastAsia="Times New Roman" w:hAnsiTheme="majorBidi" w:cstheme="majorBidi"/>
          <w:sz w:val="24"/>
          <w:szCs w:val="24"/>
        </w:rPr>
        <w:t xml:space="preserve"> (23.2)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 &amp; (24.4) (p=0.63). Day 5 difficult ET (%) (62.7) &amp; </w:t>
      </w:r>
      <w:r w:rsidRPr="00A2100A">
        <w:rPr>
          <w:rFonts w:asciiTheme="majorBidi" w:eastAsia="Times New Roman" w:hAnsiTheme="majorBidi" w:cstheme="majorBidi"/>
          <w:sz w:val="24"/>
          <w:szCs w:val="24"/>
        </w:rPr>
        <w:t>(25.6) (P=0.0009)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. </w:t>
      </w:r>
      <w:r w:rsidRPr="00A2100A">
        <w:rPr>
          <w:rFonts w:asciiTheme="majorBidi" w:eastAsia="Calibri" w:hAnsiTheme="majorBidi" w:cstheme="majorBidi"/>
          <w:b/>
          <w:i/>
          <w:sz w:val="24"/>
          <w:szCs w:val="24"/>
        </w:rPr>
        <w:t>Secondary outcome</w:t>
      </w:r>
      <w:r w:rsidRPr="00A2100A">
        <w:rPr>
          <w:rFonts w:asciiTheme="majorBidi" w:eastAsia="Calibri" w:hAnsiTheme="majorBidi" w:cstheme="majorBidi"/>
          <w:sz w:val="24"/>
          <w:szCs w:val="24"/>
        </w:rPr>
        <w:t xml:space="preserve">: Clinical pregnancy rates for groups A and B were respectively 38.3% &amp;44.7% (p=0.43), implantation rates were 20.0%&amp; 22.5% (p=0.62). </w:t>
      </w:r>
    </w:p>
    <w:p w:rsidR="00DB726A" w:rsidRPr="00A2100A" w:rsidRDefault="00DB726A" w:rsidP="00DB726A">
      <w:pPr>
        <w:spacing w:before="82" w:after="0" w:line="360" w:lineRule="auto"/>
        <w:ind w:right="148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A2100A">
        <w:rPr>
          <w:rFonts w:asciiTheme="majorBidi" w:eastAsia="Arial" w:hAnsiTheme="majorBidi" w:cstheme="majorBidi"/>
          <w:b/>
          <w:sz w:val="24"/>
          <w:szCs w:val="24"/>
        </w:rPr>
        <w:t xml:space="preserve">CONCLUSIONS: </w:t>
      </w:r>
      <w:r w:rsidRPr="00A2100A">
        <w:rPr>
          <w:rFonts w:asciiTheme="majorBidi" w:eastAsia="Arial" w:hAnsiTheme="majorBidi" w:cstheme="majorBidi"/>
          <w:sz w:val="24"/>
          <w:szCs w:val="24"/>
        </w:rPr>
        <w:t>starting P4 support on ER day is associated with significantly higher ratio of difficult day 5 ET so, starting P4 luteal support on the day of ET is</w:t>
      </w:r>
      <w:r w:rsidRPr="00A2100A">
        <w:rPr>
          <w:rFonts w:asciiTheme="majorBidi" w:eastAsia="Arial" w:hAnsiTheme="majorBidi" w:cstheme="majorBidi"/>
          <w:spacing w:val="-1"/>
          <w:sz w:val="24"/>
          <w:szCs w:val="24"/>
        </w:rPr>
        <w:t xml:space="preserve"> </w:t>
      </w:r>
      <w:r w:rsidRPr="00A2100A">
        <w:rPr>
          <w:rFonts w:asciiTheme="majorBidi" w:eastAsia="Arial" w:hAnsiTheme="majorBidi" w:cstheme="majorBidi"/>
          <w:sz w:val="24"/>
          <w:szCs w:val="24"/>
        </w:rPr>
        <w:t>recommended.</w:t>
      </w:r>
    </w:p>
    <w:p w:rsidR="00C6512C" w:rsidRDefault="00C6512C"/>
    <w:sectPr w:rsidR="00C65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6A"/>
    <w:rsid w:val="00C6512C"/>
    <w:rsid w:val="00DB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5287D"/>
  <w15:chartTrackingRefBased/>
  <w15:docId w15:val="{34E2EC84-7DB0-454D-8ACD-391BFFEF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26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Abdelkhalek Ibrahim Elbahloul</dc:creator>
  <cp:keywords/>
  <dc:description/>
  <cp:lastModifiedBy>Ibrahim Abdelkhalek Ibrahim Elbahloul</cp:lastModifiedBy>
  <cp:revision>1</cp:revision>
  <dcterms:created xsi:type="dcterms:W3CDTF">2020-02-23T13:01:00Z</dcterms:created>
  <dcterms:modified xsi:type="dcterms:W3CDTF">2020-02-23T13:08:00Z</dcterms:modified>
</cp:coreProperties>
</file>