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534" w:rsidRPr="006B752E" w:rsidRDefault="00B01534" w:rsidP="00B01534">
      <w:pPr>
        <w:pStyle w:val="Heading1"/>
        <w:spacing w:line="480" w:lineRule="auto"/>
        <w:jc w:val="both"/>
        <w:rPr>
          <w:rFonts w:ascii="Tw Cen MT" w:hAnsi="Tw Cen MT" w:cs="Times New Roman"/>
          <w:sz w:val="24"/>
          <w:szCs w:val="24"/>
        </w:rPr>
      </w:pPr>
      <w:r w:rsidRPr="006B752E">
        <w:rPr>
          <w:rFonts w:ascii="Tw Cen MT" w:hAnsi="Tw Cen MT" w:cs="Times New Roman"/>
          <w:i/>
          <w:sz w:val="24"/>
          <w:szCs w:val="24"/>
        </w:rPr>
        <w:t>Impact of Mode of Delivery on Pregnancy Outcomes in Women with Premature Rupture of Membranes After 28 Weeks of Gestation in a Low-resource Setting:  A Prospective Cohort Study</w:t>
      </w:r>
    </w:p>
    <w:p w:rsidR="00AE3E37" w:rsidRPr="006B752E" w:rsidRDefault="00AE3E37" w:rsidP="00494130">
      <w:pPr>
        <w:pStyle w:val="Heading1"/>
        <w:spacing w:before="170"/>
        <w:ind w:left="0"/>
        <w:rPr>
          <w:rFonts w:ascii="Tw Cen MT" w:hAnsi="Tw Cen MT"/>
          <w:sz w:val="24"/>
          <w:szCs w:val="24"/>
        </w:rPr>
      </w:pPr>
    </w:p>
    <w:p w:rsidR="00B01534" w:rsidRPr="006B752E" w:rsidRDefault="00B01534" w:rsidP="005973B9">
      <w:pPr>
        <w:pStyle w:val="BodyText"/>
        <w:spacing w:before="73" w:line="198" w:lineRule="exact"/>
        <w:ind w:left="100" w:right="5987"/>
        <w:rPr>
          <w:rFonts w:cs="Times New Roman"/>
          <w:sz w:val="24"/>
          <w:szCs w:val="24"/>
        </w:rPr>
      </w:pPr>
      <w:r w:rsidRPr="006B752E">
        <w:rPr>
          <w:rFonts w:cs="Times New Roman"/>
          <w:b/>
          <w:sz w:val="24"/>
          <w:szCs w:val="24"/>
        </w:rPr>
        <w:t>Herbert Kayiga</w:t>
      </w:r>
      <w:r w:rsidRPr="006B752E">
        <w:rPr>
          <w:rFonts w:cs="Times New Roman"/>
          <w:sz w:val="24"/>
          <w:szCs w:val="24"/>
        </w:rPr>
        <w:t xml:space="preserve"> MBChB, MMED OB/GY, </w:t>
      </w:r>
    </w:p>
    <w:p w:rsidR="005973B9" w:rsidRPr="006B752E" w:rsidRDefault="00B01534" w:rsidP="005973B9">
      <w:pPr>
        <w:pStyle w:val="BodyText"/>
        <w:spacing w:before="73" w:line="198" w:lineRule="exact"/>
        <w:ind w:left="100" w:right="5987"/>
        <w:rPr>
          <w:rFonts w:cs="Times New Roman"/>
          <w:sz w:val="24"/>
          <w:szCs w:val="24"/>
        </w:rPr>
      </w:pPr>
      <w:r w:rsidRPr="006B752E">
        <w:rPr>
          <w:rFonts w:cs="Times New Roman"/>
          <w:sz w:val="24"/>
          <w:szCs w:val="24"/>
        </w:rPr>
        <w:t>GLOBAL Health Fellow, Kampala, Uganda</w:t>
      </w:r>
    </w:p>
    <w:p w:rsidR="00AE3E37" w:rsidRPr="006B752E" w:rsidRDefault="00AE3E37">
      <w:pPr>
        <w:pStyle w:val="BodyText"/>
        <w:rPr>
          <w:sz w:val="24"/>
          <w:szCs w:val="24"/>
        </w:rPr>
      </w:pPr>
    </w:p>
    <w:p w:rsidR="00AE3E37" w:rsidRPr="006B752E" w:rsidRDefault="00AE3E37">
      <w:pPr>
        <w:pStyle w:val="BodyText"/>
        <w:spacing w:before="3"/>
        <w:rPr>
          <w:sz w:val="24"/>
          <w:szCs w:val="24"/>
        </w:rPr>
      </w:pPr>
    </w:p>
    <w:p w:rsidR="00AE3E37" w:rsidRPr="006B752E" w:rsidRDefault="00AE3E37">
      <w:pPr>
        <w:rPr>
          <w:sz w:val="24"/>
          <w:szCs w:val="24"/>
        </w:rPr>
        <w:sectPr w:rsidR="00AE3E37" w:rsidRPr="006B752E">
          <w:headerReference w:type="default" r:id="rId7"/>
          <w:footerReference w:type="default" r:id="rId8"/>
          <w:type w:val="continuous"/>
          <w:pgSz w:w="11910" w:h="16840"/>
          <w:pgMar w:top="1740" w:right="600" w:bottom="840" w:left="620" w:header="541" w:footer="642" w:gutter="0"/>
          <w:cols w:space="720"/>
        </w:sectPr>
      </w:pPr>
    </w:p>
    <w:p w:rsidR="00B01534" w:rsidRPr="006B752E" w:rsidRDefault="00B01534" w:rsidP="00B01534">
      <w:pPr>
        <w:autoSpaceDE w:val="0"/>
        <w:autoSpaceDN w:val="0"/>
        <w:adjustRightInd w:val="0"/>
        <w:spacing w:line="480" w:lineRule="auto"/>
        <w:jc w:val="both"/>
        <w:rPr>
          <w:rFonts w:cs="Times New Roman"/>
          <w:sz w:val="24"/>
          <w:szCs w:val="24"/>
        </w:rPr>
      </w:pPr>
      <w:r w:rsidRPr="006B752E">
        <w:rPr>
          <w:rStyle w:val="Heading2Char"/>
          <w:rFonts w:ascii="Tw Cen MT" w:hAnsi="Tw Cen MT" w:cs="Times New Roman"/>
          <w:b/>
        </w:rPr>
        <w:t>Background:</w:t>
      </w:r>
      <w:r w:rsidRPr="006B752E">
        <w:rPr>
          <w:rFonts w:cs="Times New Roman"/>
          <w:sz w:val="24"/>
          <w:szCs w:val="24"/>
        </w:rPr>
        <w:t xml:space="preserve"> Despite the high prevalence of premature rupture of membranes (PROM) in low-resource settings, the preferred mode of delivery remains unclear. We compared the perinatal mortality in a prospective cohort of women with PROM after 28 weeks following vaginal or caesarean delivery at Mulago Hospital with the aim of adopting evidence based practice and improving patient care.</w:t>
      </w:r>
    </w:p>
    <w:p w:rsidR="00B01534" w:rsidRPr="006B752E" w:rsidRDefault="00B01534" w:rsidP="00B01534">
      <w:pPr>
        <w:autoSpaceDE w:val="0"/>
        <w:autoSpaceDN w:val="0"/>
        <w:adjustRightInd w:val="0"/>
        <w:spacing w:line="480" w:lineRule="auto"/>
        <w:jc w:val="both"/>
        <w:rPr>
          <w:rFonts w:cs="Times New Roman"/>
          <w:b/>
          <w:sz w:val="24"/>
          <w:szCs w:val="24"/>
        </w:rPr>
      </w:pPr>
      <w:r w:rsidRPr="006B752E">
        <w:rPr>
          <w:rStyle w:val="Heading2Char"/>
          <w:rFonts w:ascii="Tw Cen MT" w:hAnsi="Tw Cen MT" w:cs="Times New Roman"/>
          <w:b/>
        </w:rPr>
        <w:t>Methods:</w:t>
      </w:r>
      <w:r w:rsidRPr="006B752E">
        <w:rPr>
          <w:rFonts w:cs="Times New Roman"/>
          <w:b/>
          <w:sz w:val="24"/>
          <w:szCs w:val="24"/>
        </w:rPr>
        <w:t xml:space="preserve"> </w:t>
      </w:r>
      <w:r w:rsidRPr="006B752E">
        <w:rPr>
          <w:rFonts w:cs="Times New Roman"/>
          <w:sz w:val="24"/>
          <w:szCs w:val="24"/>
        </w:rPr>
        <w:t>Between November 2015 and May 2016, 1455 women with PROM after 28 weeks of gestation and their newborns were prospectively followed from admission to discharge at Mulago Hospital. The primary outcome was perinatal mortality</w:t>
      </w:r>
      <w:r w:rsidRPr="006B752E">
        <w:rPr>
          <w:rStyle w:val="CommentReference"/>
          <w:rFonts w:cs="Times New Roman"/>
          <w:sz w:val="24"/>
          <w:szCs w:val="24"/>
        </w:rPr>
        <w:t>.</w:t>
      </w:r>
      <w:r w:rsidRPr="006B752E">
        <w:rPr>
          <w:rFonts w:cs="Times New Roman"/>
          <w:sz w:val="24"/>
          <w:szCs w:val="24"/>
        </w:rPr>
        <w:t xml:space="preserve"> Secondary neonatal outcomes included sepsis and admission to the Special Care Unit. Maternal outcomes included maternal deaths and complications. Outcomes were compared between women who had vaginal vs. caesarean delivery using multivariable logistic regression. All statistical tests were 2-sided with the level of statistical significance set at p &lt; 0.05.</w:t>
      </w:r>
    </w:p>
    <w:p w:rsidR="00B01534" w:rsidRPr="006B752E" w:rsidRDefault="006B752E" w:rsidP="00B01534">
      <w:pPr>
        <w:spacing w:line="480" w:lineRule="auto"/>
        <w:jc w:val="both"/>
        <w:rPr>
          <w:rFonts w:cs="Times New Roman"/>
          <w:sz w:val="24"/>
          <w:szCs w:val="24"/>
        </w:rPr>
      </w:pPr>
      <w:r>
        <w:rPr>
          <w:rStyle w:val="Heading2Char"/>
          <w:rFonts w:ascii="Tw Cen MT" w:hAnsi="Tw Cen MT" w:cs="Times New Roman"/>
          <w:b/>
        </w:rPr>
        <w:t>Findings/</w:t>
      </w:r>
      <w:r w:rsidR="00B01534" w:rsidRPr="006B752E">
        <w:rPr>
          <w:rStyle w:val="Heading2Char"/>
          <w:rFonts w:ascii="Tw Cen MT" w:hAnsi="Tw Cen MT" w:cs="Times New Roman"/>
          <w:b/>
        </w:rPr>
        <w:t>Results:</w:t>
      </w:r>
      <w:r w:rsidR="00B01534" w:rsidRPr="006B752E">
        <w:rPr>
          <w:rFonts w:cs="Times New Roman"/>
          <w:sz w:val="24"/>
          <w:szCs w:val="24"/>
        </w:rPr>
        <w:t xml:space="preserve"> The incidence of PROM was 12.1%. The perinatal mortality following PROM was 65 per </w:t>
      </w:r>
      <w:r w:rsidR="00B01534" w:rsidRPr="006B752E">
        <w:rPr>
          <w:rFonts w:cs="Times New Roman"/>
          <w:sz w:val="24"/>
          <w:szCs w:val="24"/>
        </w:rPr>
        <w:t>1000 live births. Of the 1425 women with PROM, 991 (69.5%) had vaginal delivery and 434 (30.5%) underwent Caesarean section. There was no statistical difference in perinatal mortality by the mode of delivery (vaginal vs. caesarean) in PROM (p=0.12). The risk factors for perinatal mortality included chorioamnionitis, failure to administer corticosteroids in preterm PROM, gestational age (28-33 weeks), duration of drainage of liquor (24-48 hours), and presence of maternal complications. Caesarean delivery was associated with increased maternal postpartum infections, admission to the Special Care Unit and maternal death.</w:t>
      </w:r>
    </w:p>
    <w:p w:rsidR="00B01534" w:rsidRPr="006B752E" w:rsidRDefault="00B01534" w:rsidP="00B01534">
      <w:pPr>
        <w:spacing w:line="480" w:lineRule="auto"/>
        <w:jc w:val="both"/>
        <w:rPr>
          <w:rFonts w:cs="Times New Roman"/>
          <w:sz w:val="24"/>
          <w:szCs w:val="24"/>
        </w:rPr>
      </w:pPr>
      <w:r w:rsidRPr="006B752E">
        <w:rPr>
          <w:rStyle w:val="Heading2Char"/>
          <w:rFonts w:ascii="Tw Cen MT" w:hAnsi="Tw Cen MT" w:cs="Times New Roman"/>
          <w:b/>
        </w:rPr>
        <w:t>Conclusion:</w:t>
      </w:r>
      <w:r w:rsidRPr="006B752E">
        <w:rPr>
          <w:rFonts w:cs="Times New Roman"/>
          <w:sz w:val="24"/>
          <w:szCs w:val="24"/>
        </w:rPr>
        <w:t xml:space="preserve"> In low resource settings, vaginal delivery is the preferred mode of delivery for PROM after 28 weeks gestation.  It is associated with lesser maternal and perinatal morbidity when compared to caesarean delivery.</w:t>
      </w:r>
    </w:p>
    <w:p w:rsidR="00B01534" w:rsidRPr="006B752E" w:rsidRDefault="00B01534" w:rsidP="00B01534">
      <w:pPr>
        <w:spacing w:line="480" w:lineRule="auto"/>
        <w:jc w:val="both"/>
        <w:rPr>
          <w:rFonts w:cs="Times New Roman"/>
          <w:sz w:val="24"/>
          <w:szCs w:val="24"/>
        </w:rPr>
      </w:pPr>
      <w:r w:rsidRPr="006B752E">
        <w:rPr>
          <w:rFonts w:cs="Times New Roman"/>
          <w:b/>
          <w:sz w:val="24"/>
          <w:szCs w:val="24"/>
        </w:rPr>
        <w:t>Publications</w:t>
      </w:r>
      <w:r w:rsidRPr="006B752E">
        <w:rPr>
          <w:rFonts w:cs="Times New Roman"/>
          <w:sz w:val="24"/>
          <w:szCs w:val="24"/>
        </w:rPr>
        <w:t>:</w:t>
      </w:r>
    </w:p>
    <w:p w:rsidR="00B01534" w:rsidRPr="006B752E" w:rsidRDefault="004A385D" w:rsidP="004A385D">
      <w:pPr>
        <w:pStyle w:val="ListParagraph"/>
        <w:numPr>
          <w:ilvl w:val="0"/>
          <w:numId w:val="4"/>
        </w:numPr>
        <w:spacing w:line="240" w:lineRule="auto"/>
        <w:jc w:val="left"/>
        <w:rPr>
          <w:rFonts w:ascii="Tw Cen MT" w:hAnsi="Tw Cen MT" w:cs="Times New Roman"/>
          <w:sz w:val="24"/>
          <w:szCs w:val="24"/>
        </w:rPr>
      </w:pPr>
      <w:r w:rsidRPr="006B752E">
        <w:rPr>
          <w:rFonts w:ascii="Tw Cen MT" w:hAnsi="Tw Cen MT" w:cs="Times New Roman"/>
          <w:sz w:val="24"/>
          <w:szCs w:val="24"/>
        </w:rPr>
        <w:t>Impact of Mode of Delivery on Pregnancy Outcomes in Premature Rupture of Membranes after 28 weeks of gestation in a Low-resource setting:  A Prospective Cohort Study</w:t>
      </w:r>
      <w:r w:rsidRPr="006B752E">
        <w:rPr>
          <w:rFonts w:ascii="Tw Cen MT" w:hAnsi="Tw Cen MT" w:cs="Times New Roman"/>
          <w:sz w:val="24"/>
          <w:szCs w:val="24"/>
        </w:rPr>
        <w:t>(</w:t>
      </w:r>
      <w:hyperlink r:id="rId9" w:tooltip="PloS one." w:history="1">
        <w:r w:rsidRPr="006B752E">
          <w:rPr>
            <w:rFonts w:ascii="Tw Cen MT" w:eastAsia="Tw Cen MT" w:hAnsi="Tw Cen MT" w:cs="Arial"/>
            <w:color w:val="2222CC"/>
            <w:sz w:val="24"/>
            <w:szCs w:val="24"/>
            <w:u w:val="single"/>
          </w:rPr>
          <w:t>PLoS One.</w:t>
        </w:r>
      </w:hyperlink>
      <w:r w:rsidRPr="006B752E">
        <w:rPr>
          <w:rFonts w:ascii="Tw Cen MT" w:eastAsia="Tw Cen MT" w:hAnsi="Tw Cen MT" w:cs="Arial"/>
          <w:color w:val="000000"/>
          <w:sz w:val="24"/>
          <w:szCs w:val="24"/>
          <w:shd w:val="clear" w:color="auto" w:fill="FFFFFF"/>
        </w:rPr>
        <w:t xml:space="preserve"> 2</w:t>
      </w:r>
      <w:r w:rsidRPr="006B752E">
        <w:rPr>
          <w:rFonts w:ascii="Tw Cen MT" w:eastAsia="Tw Cen MT" w:hAnsi="Tw Cen MT" w:cs="Arial"/>
          <w:color w:val="000000"/>
          <w:sz w:val="24"/>
          <w:szCs w:val="24"/>
          <w:shd w:val="clear" w:color="auto" w:fill="FFFFFF"/>
        </w:rPr>
        <w:t xml:space="preserve">018 Jan 10;13(1):e0190388. </w:t>
      </w:r>
      <w:r w:rsidRPr="006B752E">
        <w:rPr>
          <w:rFonts w:ascii="Tw Cen MT" w:eastAsia="Tw Cen MT" w:hAnsi="Tw Cen MT" w:cs="Arial"/>
          <w:color w:val="000000"/>
          <w:sz w:val="24"/>
          <w:szCs w:val="24"/>
          <w:shd w:val="clear" w:color="auto" w:fill="FFFFFF"/>
        </w:rPr>
        <w:lastRenderedPageBreak/>
        <w:t>doi:10.1371/journal.pone.0190388.</w:t>
      </w:r>
    </w:p>
    <w:p w:rsidR="004A385D" w:rsidRPr="006B752E" w:rsidRDefault="004A385D" w:rsidP="004A385D">
      <w:pPr>
        <w:widowControl/>
        <w:numPr>
          <w:ilvl w:val="0"/>
          <w:numId w:val="4"/>
        </w:numPr>
        <w:jc w:val="both"/>
        <w:rPr>
          <w:rFonts w:cs="Times New Roman"/>
          <w:sz w:val="24"/>
          <w:szCs w:val="24"/>
        </w:rPr>
      </w:pPr>
      <w:r w:rsidRPr="006B752E">
        <w:rPr>
          <w:rFonts w:cs="Times New Roman"/>
          <w:color w:val="222222"/>
          <w:sz w:val="24"/>
          <w:szCs w:val="24"/>
          <w:shd w:val="clear" w:color="auto" w:fill="FFFFFF"/>
        </w:rPr>
        <w:t xml:space="preserve">Immediate versus delayed postpartum use of Levonorgestrel contraceptive implants: a randomized controlled trial. American Journal Obstetrics and Gynecology AJOG </w:t>
      </w:r>
      <w:r w:rsidRPr="006B752E">
        <w:rPr>
          <w:rFonts w:cs="Times New Roman"/>
          <w:color w:val="000000"/>
          <w:sz w:val="24"/>
          <w:szCs w:val="24"/>
          <w:shd w:val="clear" w:color="auto" w:fill="FFFFFF"/>
        </w:rPr>
        <w:t>Volume 217, Issue 5, Pages 568.e1–568.e7</w:t>
      </w:r>
    </w:p>
    <w:p w:rsidR="004A385D" w:rsidRPr="006B752E" w:rsidRDefault="004A385D" w:rsidP="004A385D">
      <w:pPr>
        <w:widowControl/>
        <w:numPr>
          <w:ilvl w:val="0"/>
          <w:numId w:val="4"/>
        </w:numPr>
        <w:jc w:val="both"/>
        <w:rPr>
          <w:sz w:val="24"/>
          <w:szCs w:val="24"/>
        </w:rPr>
      </w:pPr>
      <w:r w:rsidRPr="006B752E">
        <w:rPr>
          <w:sz w:val="24"/>
          <w:szCs w:val="24"/>
        </w:rPr>
        <w:t xml:space="preserve">Improving the quality of Obstetric care given to mothers with obstructed labour in a national referral hospital in Uganda: Lessons learnt from Criteria-based Audit. </w:t>
      </w:r>
      <w:r w:rsidRPr="006B752E">
        <w:rPr>
          <w:color w:val="000000"/>
          <w:sz w:val="24"/>
          <w:szCs w:val="24"/>
          <w:shd w:val="clear" w:color="auto" w:fill="FFFFFF"/>
        </w:rPr>
        <w:t>BMC Pregnancy Childbirth. 2016; 16: 152</w:t>
      </w:r>
    </w:p>
    <w:p w:rsidR="00AE3E37" w:rsidRPr="006B752E" w:rsidRDefault="00AE3E37">
      <w:pPr>
        <w:spacing w:line="200" w:lineRule="exact"/>
        <w:jc w:val="both"/>
        <w:rPr>
          <w:sz w:val="24"/>
          <w:szCs w:val="24"/>
        </w:rPr>
        <w:sectPr w:rsidR="00AE3E37" w:rsidRPr="006B752E">
          <w:type w:val="continuous"/>
          <w:pgSz w:w="11910" w:h="16840"/>
          <w:pgMar w:top="1740" w:right="600" w:bottom="840" w:left="620" w:header="720" w:footer="720" w:gutter="0"/>
          <w:cols w:num="2" w:space="720" w:equalWidth="0">
            <w:col w:w="5214" w:space="138"/>
            <w:col w:w="5338"/>
          </w:cols>
        </w:sectPr>
      </w:pPr>
    </w:p>
    <w:p w:rsidR="00AE3E37" w:rsidRPr="006B752E" w:rsidRDefault="00AE3E37">
      <w:pPr>
        <w:pStyle w:val="BodyText"/>
        <w:rPr>
          <w:sz w:val="24"/>
          <w:szCs w:val="24"/>
        </w:rPr>
      </w:pPr>
    </w:p>
    <w:p w:rsidR="00AE3E37" w:rsidRPr="006B752E" w:rsidRDefault="006B752E">
      <w:pPr>
        <w:pStyle w:val="BodyText"/>
        <w:spacing w:line="40" w:lineRule="exact"/>
        <w:ind w:left="2202"/>
        <w:rPr>
          <w:sz w:val="24"/>
          <w:szCs w:val="24"/>
        </w:rPr>
      </w:pPr>
      <w:r w:rsidRPr="006B752E">
        <w:rPr>
          <w:noProof/>
          <w:sz w:val="24"/>
          <w:szCs w:val="24"/>
        </w:rPr>
        <mc:AlternateContent>
          <mc:Choice Requires="wpg">
            <w:drawing>
              <wp:inline distT="0" distB="0" distL="0" distR="0">
                <wp:extent cx="3975735" cy="25400"/>
                <wp:effectExtent l="5080" t="2540" r="635" b="63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4148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Pr="006B752E" w:rsidRDefault="008756E6" w:rsidP="00404E5B">
      <w:pPr>
        <w:spacing w:before="92"/>
        <w:ind w:right="4234"/>
        <w:rPr>
          <w:sz w:val="24"/>
          <w:szCs w:val="24"/>
        </w:rPr>
      </w:pPr>
      <w:r w:rsidRPr="006B752E">
        <w:rPr>
          <w:noProof/>
          <w:sz w:val="24"/>
          <w:szCs w:val="24"/>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6B752E">
        <w:rPr>
          <w:color w:val="BF5A14"/>
          <w:sz w:val="24"/>
          <w:szCs w:val="24"/>
        </w:rPr>
        <w:t>Biography</w:t>
      </w:r>
      <w:r w:rsidR="00404E5B" w:rsidRPr="006B752E">
        <w:rPr>
          <w:color w:val="BF5A14"/>
          <w:sz w:val="24"/>
          <w:szCs w:val="24"/>
        </w:rPr>
        <w:t xml:space="preserve"> (150 word limit)</w:t>
      </w:r>
    </w:p>
    <w:p w:rsidR="00AE3E37" w:rsidRPr="006B752E" w:rsidRDefault="004A385D">
      <w:pPr>
        <w:spacing w:before="41" w:line="154" w:lineRule="exact"/>
        <w:ind w:left="213" w:right="231"/>
        <w:jc w:val="both"/>
        <w:rPr>
          <w:sz w:val="16"/>
          <w:szCs w:val="16"/>
        </w:rPr>
      </w:pPr>
      <w:r w:rsidRPr="006B752E">
        <w:rPr>
          <w:sz w:val="16"/>
          <w:szCs w:val="16"/>
        </w:rPr>
        <w:t>Herbert Kayiga, is a Lectu</w:t>
      </w:r>
      <w:bookmarkStart w:id="0" w:name="_GoBack"/>
      <w:bookmarkEnd w:id="0"/>
      <w:r w:rsidRPr="006B752E">
        <w:rPr>
          <w:sz w:val="16"/>
          <w:szCs w:val="16"/>
        </w:rPr>
        <w:t xml:space="preserve">rer in the Department of Obstetrics and Gynecology at Makerere University College of Health Sciences. His keen interest in </w:t>
      </w:r>
      <w:r w:rsidR="006B752E" w:rsidRPr="006B752E">
        <w:rPr>
          <w:sz w:val="16"/>
          <w:szCs w:val="16"/>
        </w:rPr>
        <w:t>maternal</w:t>
      </w:r>
      <w:r w:rsidRPr="006B752E">
        <w:rPr>
          <w:sz w:val="16"/>
          <w:szCs w:val="16"/>
        </w:rPr>
        <w:t xml:space="preserve"> health </w:t>
      </w:r>
      <w:r w:rsidR="006B752E" w:rsidRPr="006B752E">
        <w:rPr>
          <w:sz w:val="16"/>
          <w:szCs w:val="16"/>
        </w:rPr>
        <w:t xml:space="preserve">with a particular passion for Preterm labour. </w:t>
      </w:r>
      <w:r w:rsidRPr="006B752E">
        <w:rPr>
          <w:sz w:val="16"/>
          <w:szCs w:val="16"/>
        </w:rPr>
        <w:t xml:space="preserve"> </w:t>
      </w:r>
      <w:r w:rsidR="006B752E" w:rsidRPr="006B752E">
        <w:rPr>
          <w:rFonts w:cs="Arial"/>
          <w:color w:val="4C4C4C"/>
          <w:sz w:val="16"/>
          <w:szCs w:val="16"/>
          <w:shd w:val="clear" w:color="auto" w:fill="FFFFFF"/>
        </w:rPr>
        <w:t>Dr. Kayiga has just completed a research project ‘Criterion Based Audit in management of women with obstructed labor in Mulago hospital'. This was one study that evaluated the quality of obstetric care offered to women with obstructed labor in a low resource setting. Dr. Kayiga is a self-driven young researcher aspiring to grow in clinical research to influence my country's health with keen interest in Maternal and Newborn Health.</w:t>
      </w:r>
      <w:r w:rsidR="006B752E" w:rsidRPr="006B752E">
        <w:rPr>
          <w:sz w:val="16"/>
          <w:szCs w:val="16"/>
        </w:rPr>
        <w:t xml:space="preserve"> </w:t>
      </w:r>
    </w:p>
    <w:p w:rsidR="00AE3E37" w:rsidRPr="006B752E" w:rsidRDefault="00A9710C">
      <w:pPr>
        <w:spacing w:before="62"/>
        <w:ind w:left="4217" w:right="4235"/>
        <w:jc w:val="center"/>
        <w:rPr>
          <w:sz w:val="24"/>
          <w:szCs w:val="24"/>
        </w:rPr>
      </w:pPr>
      <w:r w:rsidRPr="006B752E">
        <w:rPr>
          <w:sz w:val="16"/>
          <w:szCs w:val="16"/>
        </w:rPr>
        <w:t>Email:</w:t>
      </w:r>
      <w:r w:rsidRPr="006B752E">
        <w:rPr>
          <w:sz w:val="24"/>
          <w:szCs w:val="24"/>
        </w:rPr>
        <w:t xml:space="preserve"> </w:t>
      </w:r>
      <w:hyperlink r:id="rId11" w:history="1">
        <w:r w:rsidR="004A385D" w:rsidRPr="006B752E">
          <w:rPr>
            <w:rStyle w:val="Hyperlink"/>
            <w:sz w:val="24"/>
            <w:szCs w:val="24"/>
          </w:rPr>
          <w:t>hkayiga@gmail.com</w:t>
        </w:r>
      </w:hyperlink>
    </w:p>
    <w:p w:rsidR="00AE3E37" w:rsidRPr="006B752E" w:rsidRDefault="006B752E">
      <w:pPr>
        <w:pStyle w:val="BodyText"/>
        <w:spacing w:before="2"/>
        <w:rPr>
          <w:sz w:val="24"/>
          <w:szCs w:val="24"/>
        </w:rPr>
      </w:pPr>
      <w:r w:rsidRPr="006B752E">
        <w:rPr>
          <w:noProof/>
          <w:sz w:val="24"/>
          <w:szCs w:val="24"/>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43C49"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B752E" w:rsidRDefault="00AE3E37">
      <w:pPr>
        <w:pStyle w:val="BodyText"/>
        <w:rPr>
          <w:sz w:val="24"/>
          <w:szCs w:val="24"/>
        </w:rPr>
      </w:pPr>
    </w:p>
    <w:p w:rsidR="00AE3E37" w:rsidRPr="006B752E" w:rsidRDefault="00AE3E37">
      <w:pPr>
        <w:pStyle w:val="BodyText"/>
        <w:rPr>
          <w:sz w:val="24"/>
          <w:szCs w:val="24"/>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D36" w:rsidRDefault="00FA3D36">
      <w:r>
        <w:separator/>
      </w:r>
    </w:p>
  </w:endnote>
  <w:endnote w:type="continuationSeparator" w:id="0">
    <w:p w:rsidR="00FA3D36" w:rsidRDefault="00FA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B752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D36" w:rsidRDefault="00FA3D36">
      <w:r>
        <w:separator/>
      </w:r>
    </w:p>
  </w:footnote>
  <w:footnote w:type="continuationSeparator" w:id="0">
    <w:p w:rsidR="00FA3D36" w:rsidRDefault="00FA3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B752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235E9"/>
    <w:multiLevelType w:val="hybridMultilevel"/>
    <w:tmpl w:val="EB7A3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3C83E8A"/>
    <w:multiLevelType w:val="hybridMultilevel"/>
    <w:tmpl w:val="FD80ACCA"/>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404E5B"/>
    <w:rsid w:val="00414F7B"/>
    <w:rsid w:val="0042758D"/>
    <w:rsid w:val="004355DC"/>
    <w:rsid w:val="004749B4"/>
    <w:rsid w:val="00494130"/>
    <w:rsid w:val="004A385D"/>
    <w:rsid w:val="004F3523"/>
    <w:rsid w:val="005973B9"/>
    <w:rsid w:val="005B3A56"/>
    <w:rsid w:val="005B73FA"/>
    <w:rsid w:val="006060CE"/>
    <w:rsid w:val="0063497F"/>
    <w:rsid w:val="006B752E"/>
    <w:rsid w:val="006F129A"/>
    <w:rsid w:val="007863B4"/>
    <w:rsid w:val="007E2F3A"/>
    <w:rsid w:val="007F539F"/>
    <w:rsid w:val="00873DF0"/>
    <w:rsid w:val="008756E6"/>
    <w:rsid w:val="00972752"/>
    <w:rsid w:val="009B2D44"/>
    <w:rsid w:val="00A07E82"/>
    <w:rsid w:val="00A86EC9"/>
    <w:rsid w:val="00A9710C"/>
    <w:rsid w:val="00AE3E37"/>
    <w:rsid w:val="00B01534"/>
    <w:rsid w:val="00B21A57"/>
    <w:rsid w:val="00B73F8B"/>
    <w:rsid w:val="00C33602"/>
    <w:rsid w:val="00CD6F55"/>
    <w:rsid w:val="00D435F6"/>
    <w:rsid w:val="00DE3104"/>
    <w:rsid w:val="00EB346F"/>
    <w:rsid w:val="00EC7B82"/>
    <w:rsid w:val="00F53956"/>
    <w:rsid w:val="00F72EEA"/>
    <w:rsid w:val="00F84CAE"/>
    <w:rsid w:val="00FA3D3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58C679-3B19-41CE-9124-D751CDF2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character" w:customStyle="1" w:styleId="Heading2Char">
    <w:name w:val="Heading 2 Char"/>
    <w:basedOn w:val="DefaultParagraphFont"/>
    <w:link w:val="Heading2"/>
    <w:uiPriority w:val="1"/>
    <w:rsid w:val="00B01534"/>
    <w:rPr>
      <w:rFonts w:ascii="Minion Pro" w:eastAsia="Minion Pro" w:hAnsi="Minion Pro" w:cs="Minion 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kayiga@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cbi.nlm.nih.gov/pubmed/2932051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Herbert Kayiga</cp:lastModifiedBy>
  <cp:revision>2</cp:revision>
  <dcterms:created xsi:type="dcterms:W3CDTF">2020-01-07T08:03:00Z</dcterms:created>
  <dcterms:modified xsi:type="dcterms:W3CDTF">2020-01-07T08:03:00Z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