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C15" w:rsidRDefault="00816C15" w:rsidP="00816C15">
      <w:pPr>
        <w:jc w:val="center"/>
        <w:rPr>
          <w:rFonts w:ascii="Times New Roman" w:hAnsi="Times New Roman" w:cs="Times New Roman"/>
          <w:b/>
          <w:sz w:val="24"/>
          <w:szCs w:val="24"/>
        </w:rPr>
      </w:pPr>
      <w:r>
        <w:rPr>
          <w:rFonts w:ascii="Times New Roman" w:hAnsi="Times New Roman" w:cs="Times New Roman"/>
          <w:b/>
          <w:sz w:val="24"/>
          <w:szCs w:val="24"/>
        </w:rPr>
        <w:t>Impacts of Renewables on</w:t>
      </w:r>
      <w:r w:rsidRPr="00E86CF5">
        <w:rPr>
          <w:rFonts w:ascii="Times New Roman" w:hAnsi="Times New Roman" w:cs="Times New Roman"/>
          <w:b/>
          <w:sz w:val="24"/>
          <w:szCs w:val="24"/>
        </w:rPr>
        <w:t xml:space="preserve"> </w:t>
      </w:r>
      <w:r w:rsidRPr="00E74D4F">
        <w:rPr>
          <w:rFonts w:ascii="Times New Roman" w:hAnsi="Times New Roman" w:cs="Times New Roman"/>
          <w:b/>
          <w:sz w:val="24"/>
          <w:szCs w:val="24"/>
        </w:rPr>
        <w:t xml:space="preserve">Electric Vehicle </w:t>
      </w:r>
      <w:r>
        <w:rPr>
          <w:rFonts w:ascii="Times New Roman" w:hAnsi="Times New Roman" w:cs="Times New Roman"/>
          <w:b/>
          <w:sz w:val="24"/>
          <w:szCs w:val="24"/>
        </w:rPr>
        <w:t xml:space="preserve">Demands  </w:t>
      </w:r>
    </w:p>
    <w:p w:rsidR="00816C15" w:rsidRPr="00816C15" w:rsidRDefault="00816C15" w:rsidP="00816C15">
      <w:pPr>
        <w:rPr>
          <w:rFonts w:ascii="Times New Roman" w:hAnsi="Times New Roman" w:cs="Times New Roman"/>
          <w:b/>
          <w:sz w:val="24"/>
          <w:szCs w:val="24"/>
        </w:rPr>
      </w:pPr>
      <w:r>
        <w:rPr>
          <w:rFonts w:ascii="Times New Roman" w:hAnsi="Times New Roman" w:cs="Times New Roman"/>
          <w:b/>
          <w:sz w:val="24"/>
          <w:szCs w:val="24"/>
        </w:rPr>
        <w:t>Xiaomin Li, Xingwu Wang</w:t>
      </w:r>
    </w:p>
    <w:p w:rsidR="00816C15" w:rsidRDefault="00816C15" w:rsidP="00816C15">
      <w:pPr>
        <w:widowControl w:val="0"/>
        <w:autoSpaceDE w:val="0"/>
        <w:autoSpaceDN w:val="0"/>
        <w:adjustRightInd w:val="0"/>
        <w:spacing w:after="0" w:line="300" w:lineRule="auto"/>
        <w:jc w:val="both"/>
        <w:rPr>
          <w:rFonts w:ascii="Times New Roman" w:hAnsi="Times New Roman" w:cs="Times New Roman"/>
          <w:b/>
          <w:sz w:val="24"/>
          <w:szCs w:val="24"/>
        </w:rPr>
      </w:pPr>
    </w:p>
    <w:p w:rsidR="00816C15" w:rsidRDefault="00816C15" w:rsidP="00816C15">
      <w:pPr>
        <w:widowControl w:val="0"/>
        <w:autoSpaceDE w:val="0"/>
        <w:autoSpaceDN w:val="0"/>
        <w:adjustRightInd w:val="0"/>
        <w:spacing w:after="0" w:line="300" w:lineRule="auto"/>
        <w:jc w:val="center"/>
        <w:rPr>
          <w:rFonts w:ascii="Times New Roman" w:hAnsi="Times New Roman" w:cs="Times New Roman"/>
          <w:b/>
          <w:sz w:val="24"/>
          <w:szCs w:val="24"/>
        </w:rPr>
      </w:pPr>
      <w:r w:rsidRPr="00E74D4F">
        <w:rPr>
          <w:rFonts w:ascii="Times New Roman" w:hAnsi="Times New Roman" w:cs="Times New Roman"/>
          <w:b/>
          <w:sz w:val="24"/>
          <w:szCs w:val="24"/>
        </w:rPr>
        <w:t>Abstract</w:t>
      </w:r>
    </w:p>
    <w:p w:rsidR="00816C15" w:rsidRPr="00090585" w:rsidRDefault="00816C15" w:rsidP="00816C15">
      <w:pPr>
        <w:widowControl w:val="0"/>
        <w:autoSpaceDE w:val="0"/>
        <w:autoSpaceDN w:val="0"/>
        <w:adjustRightInd w:val="0"/>
        <w:spacing w:after="0" w:line="360" w:lineRule="auto"/>
        <w:rPr>
          <w:rFonts w:ascii="Times New Roman" w:hAnsi="Times New Roman" w:cs="Times New Roman"/>
          <w:b/>
          <w:color w:val="FF0000"/>
          <w:sz w:val="24"/>
          <w:szCs w:val="24"/>
        </w:rPr>
      </w:pPr>
    </w:p>
    <w:p w:rsidR="00816C15" w:rsidRDefault="00816C15" w:rsidP="00816C15">
      <w:pPr>
        <w:widowControl w:val="0"/>
        <w:autoSpaceDE w:val="0"/>
        <w:autoSpaceDN w:val="0"/>
        <w:adjustRightInd w:val="0"/>
        <w:spacing w:after="0" w:line="360" w:lineRule="auto"/>
        <w:rPr>
          <w:rFonts w:ascii="Times New Roman" w:hAnsi="Times New Roman" w:cs="Times New Roman"/>
          <w:color w:val="FF0000"/>
          <w:sz w:val="24"/>
          <w:szCs w:val="24"/>
          <w:highlight w:val="yellow"/>
        </w:rPr>
      </w:pPr>
    </w:p>
    <w:p w:rsidR="00816C15" w:rsidRPr="0071698A" w:rsidRDefault="00816C15" w:rsidP="00816C15">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71698A">
        <w:rPr>
          <w:rFonts w:ascii="Times New Roman" w:hAnsi="Times New Roman" w:cs="Times New Roman"/>
          <w:color w:val="000000" w:themeColor="text1"/>
          <w:sz w:val="24"/>
          <w:szCs w:val="24"/>
        </w:rPr>
        <w:t>Electric vehicle demands have increased rapidly since 2010</w:t>
      </w:r>
      <w:r>
        <w:rPr>
          <w:rFonts w:ascii="Times New Roman" w:hAnsi="Times New Roman" w:cs="Times New Roman"/>
          <w:color w:val="000000" w:themeColor="text1"/>
          <w:sz w:val="24"/>
          <w:szCs w:val="24"/>
        </w:rPr>
        <w:t xml:space="preserve">, and </w:t>
      </w:r>
      <w:r w:rsidRPr="0071698A">
        <w:rPr>
          <w:rFonts w:ascii="Times New Roman" w:hAnsi="Times New Roman" w:cs="Times New Roman"/>
          <w:color w:val="000000" w:themeColor="text1"/>
          <w:sz w:val="24"/>
          <w:szCs w:val="24"/>
        </w:rPr>
        <w:t>depend on renewables</w:t>
      </w:r>
      <w:r>
        <w:rPr>
          <w:rFonts w:ascii="Times New Roman" w:hAnsi="Times New Roman" w:cs="Times New Roman"/>
          <w:color w:val="000000" w:themeColor="text1"/>
          <w:sz w:val="24"/>
          <w:szCs w:val="24"/>
        </w:rPr>
        <w:t>.</w:t>
      </w:r>
      <w:r w:rsidRPr="0071698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71698A">
        <w:rPr>
          <w:rFonts w:ascii="Times New Roman" w:hAnsi="Times New Roman" w:cs="Times New Roman"/>
          <w:color w:val="000000" w:themeColor="text1"/>
          <w:sz w:val="24"/>
          <w:szCs w:val="24"/>
        </w:rPr>
        <w:t xml:space="preserve">Using panel data from fourteen countries between 2010 and 2015, we study impacts of seven factors in a multiple linear regression model.  The factors include percentage of renewable energies in electricity generation, number of charging stations, education level, population density, gasoline price, GDP per capita and urbanization.  The first four factors have apparent and positive impacts on the demands, and the last two factors don’t.  The gasoline price affects the demands </w:t>
      </w:r>
      <w:r>
        <w:rPr>
          <w:rFonts w:ascii="Times New Roman" w:hAnsi="Times New Roman" w:cs="Times New Roman"/>
          <w:color w:val="000000" w:themeColor="text1"/>
          <w:sz w:val="24"/>
          <w:szCs w:val="24"/>
        </w:rPr>
        <w:t xml:space="preserve">for </w:t>
      </w:r>
      <w:r w:rsidRPr="0071698A">
        <w:rPr>
          <w:rFonts w:ascii="Times New Roman" w:hAnsi="Times New Roman" w:cs="Times New Roman"/>
          <w:color w:val="000000" w:themeColor="text1"/>
          <w:sz w:val="24"/>
          <w:szCs w:val="24"/>
        </w:rPr>
        <w:t xml:space="preserve">BEVs (battery electric vehicles) more than that </w:t>
      </w:r>
      <w:r>
        <w:rPr>
          <w:rFonts w:ascii="Times New Roman" w:hAnsi="Times New Roman" w:cs="Times New Roman"/>
          <w:color w:val="000000" w:themeColor="text1"/>
          <w:sz w:val="24"/>
          <w:szCs w:val="24"/>
        </w:rPr>
        <w:t xml:space="preserve">for </w:t>
      </w:r>
      <w:r w:rsidRPr="0071698A">
        <w:rPr>
          <w:rFonts w:ascii="Times New Roman" w:hAnsi="Times New Roman" w:cs="Times New Roman"/>
          <w:color w:val="000000" w:themeColor="text1"/>
          <w:sz w:val="24"/>
          <w:szCs w:val="24"/>
        </w:rPr>
        <w:t>PHEVs (plug-in hybrid electric vehicles).  One percent increase in renewables would lead to approximately 2-6% increase in EV demands.  Based on the results, policy implications are discussed.</w:t>
      </w:r>
    </w:p>
    <w:p w:rsidR="003F56FB" w:rsidRDefault="003F56FB">
      <w:bookmarkStart w:id="0" w:name="_GoBack"/>
      <w:bookmarkEnd w:id="0"/>
    </w:p>
    <w:sectPr w:rsidR="003F56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B7767"/>
    <w:multiLevelType w:val="hybridMultilevel"/>
    <w:tmpl w:val="23E8CEE6"/>
    <w:lvl w:ilvl="0" w:tplc="0670451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C15"/>
    <w:rsid w:val="003F56FB"/>
    <w:rsid w:val="00816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C1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C1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Alfred University</Company>
  <LinksUpToDate>false</LinksUpToDate>
  <CharactersWithSpaces>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2017-05-30T13:36:00Z</dcterms:created>
  <dcterms:modified xsi:type="dcterms:W3CDTF">2017-05-30T13:37:00Z</dcterms:modified>
</cp:coreProperties>
</file>