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D64" w:rsidRPr="00CB0D64" w:rsidRDefault="00CB0D64" w:rsidP="00CB0D64">
      <w:pPr>
        <w:pStyle w:val="RSCB02ArticleText"/>
        <w:spacing w:line="240" w:lineRule="auto"/>
        <w:rPr>
          <w:rFonts w:cs="Calibri"/>
          <w:bCs/>
          <w:sz w:val="24"/>
          <w:szCs w:val="24"/>
          <w:lang w:val="en-US"/>
        </w:rPr>
      </w:pPr>
      <w:proofErr w:type="gramStart"/>
      <w:r w:rsidRPr="00CB0D64">
        <w:rPr>
          <w:rFonts w:cs="Calibri"/>
          <w:bCs/>
          <w:sz w:val="24"/>
          <w:szCs w:val="24"/>
          <w:lang w:val="en-US"/>
        </w:rPr>
        <w:t>Copper(</w:t>
      </w:r>
      <w:proofErr w:type="gramEnd"/>
      <w:r w:rsidRPr="00CB0D64">
        <w:rPr>
          <w:rFonts w:cs="Calibri"/>
          <w:bCs/>
          <w:sz w:val="24"/>
          <w:szCs w:val="24"/>
          <w:lang w:val="en-US"/>
        </w:rPr>
        <w:t xml:space="preserve">II) complexes, the best alternatives to cisplatin are biocompatible and play significant roles in biological systems. </w:t>
      </w:r>
      <w:proofErr w:type="gramStart"/>
      <w:r w:rsidRPr="00CB0D64">
        <w:rPr>
          <w:rFonts w:cs="Calibri"/>
          <w:bCs/>
          <w:sz w:val="24"/>
          <w:szCs w:val="24"/>
          <w:lang w:val="en-US"/>
        </w:rPr>
        <w:t>Copper(</w:t>
      </w:r>
      <w:proofErr w:type="gramEnd"/>
      <w:r w:rsidRPr="00CB0D64">
        <w:rPr>
          <w:rFonts w:cs="Calibri"/>
          <w:bCs/>
          <w:sz w:val="24"/>
          <w:szCs w:val="24"/>
          <w:lang w:val="en-US"/>
        </w:rPr>
        <w:t xml:space="preserve">II) complexes have been reported to act as pharmacological agents and as potential anticancer and cancer-inhibiting agents. Also, very recently, certain mixed-ligand </w:t>
      </w:r>
      <w:proofErr w:type="gramStart"/>
      <w:r w:rsidRPr="00CB0D64">
        <w:rPr>
          <w:rFonts w:cs="Calibri"/>
          <w:bCs/>
          <w:sz w:val="24"/>
          <w:szCs w:val="24"/>
          <w:lang w:val="en-US"/>
        </w:rPr>
        <w:t>copper(</w:t>
      </w:r>
      <w:proofErr w:type="gramEnd"/>
      <w:r w:rsidRPr="00CB0D64">
        <w:rPr>
          <w:rFonts w:cs="Calibri"/>
          <w:bCs/>
          <w:sz w:val="24"/>
          <w:szCs w:val="24"/>
          <w:lang w:val="en-US"/>
        </w:rPr>
        <w:t>II) complexes, which strongly bind and cleave DNA, exhibit prominent anticancer activities and regulate apoptosis.</w:t>
      </w:r>
    </w:p>
    <w:p w:rsidR="00CB0D64" w:rsidRPr="00CB0D64" w:rsidRDefault="00CB0D64" w:rsidP="00CB0D64">
      <w:pPr>
        <w:pStyle w:val="RSCB02ArticleText"/>
        <w:rPr>
          <w:rFonts w:cs="Calibri"/>
          <w:bCs/>
          <w:sz w:val="24"/>
          <w:szCs w:val="24"/>
          <w:lang w:val="en-IN"/>
        </w:rPr>
      </w:pPr>
      <w:r w:rsidRPr="00CB0D64">
        <w:rPr>
          <w:rFonts w:cs="Calibri"/>
          <w:bCs/>
          <w:sz w:val="24"/>
          <w:szCs w:val="24"/>
          <w:lang w:val="en-US"/>
        </w:rPr>
        <w:t>Investigations on the design and DNA-binding property of metal complexes are currently centre stage of attraction owing to their various uses in nucleic acid chemistry, especially their potential applications in DNA molecule probes and chemotherapeutic reagents.</w:t>
      </w:r>
      <w:r w:rsidRPr="00CB0D64">
        <w:rPr>
          <w:rFonts w:cs="Calibri"/>
          <w:bCs/>
          <w:sz w:val="24"/>
          <w:szCs w:val="24"/>
          <w:vertAlign w:val="superscript"/>
          <w:lang w:val="en-US"/>
        </w:rPr>
        <w:t>1</w:t>
      </w:r>
      <w:r w:rsidRPr="00CB0D64">
        <w:rPr>
          <w:rFonts w:cs="Calibri"/>
          <w:bCs/>
          <w:sz w:val="24"/>
          <w:szCs w:val="24"/>
          <w:lang w:val="en-US"/>
        </w:rPr>
        <w:t xml:space="preserve"> It is well known that metal complexes can bind to DNA in a non-covalent way, such as electrostatic effect, groove binding and intercalation. Among these non-covalent binding modes, intercalation has been much exploited due to its various applications in cancer therapy and molecular biology. It has been found that the intercalation of metal complexes with parallel base-pairs of DNA could induce cellular degradation, which is an effective binding mode between DNA and active cytotoxic drugs. </w:t>
      </w:r>
      <w:proofErr w:type="gramStart"/>
      <w:r w:rsidRPr="00CB0D64">
        <w:rPr>
          <w:rFonts w:cs="Calibri"/>
          <w:bCs/>
          <w:sz w:val="24"/>
          <w:szCs w:val="24"/>
          <w:lang w:val="en-US"/>
        </w:rPr>
        <w:t>however</w:t>
      </w:r>
      <w:proofErr w:type="gramEnd"/>
      <w:r w:rsidRPr="00CB0D64">
        <w:rPr>
          <w:rFonts w:cs="Calibri"/>
          <w:bCs/>
          <w:sz w:val="24"/>
          <w:szCs w:val="24"/>
          <w:lang w:val="en-US"/>
        </w:rPr>
        <w:t xml:space="preserve">, non-intercalation mode of binding has its own significance in bio-inorganic chemistry. The coordination geometry and ligand donor atom type play key roles in determining the binding mode and extent of complexes to DNA. As attention has been focused on interactions with DNA, many </w:t>
      </w:r>
      <w:proofErr w:type="gramStart"/>
      <w:r w:rsidRPr="00CB0D64">
        <w:rPr>
          <w:rFonts w:cs="Calibri"/>
          <w:bCs/>
          <w:sz w:val="24"/>
          <w:szCs w:val="24"/>
          <w:lang w:val="en-US"/>
        </w:rPr>
        <w:t>copper(</w:t>
      </w:r>
      <w:proofErr w:type="gramEnd"/>
      <w:r w:rsidRPr="00CB0D64">
        <w:rPr>
          <w:rFonts w:cs="Calibri"/>
          <w:bCs/>
          <w:sz w:val="24"/>
          <w:szCs w:val="24"/>
          <w:lang w:val="en-US"/>
        </w:rPr>
        <w:t xml:space="preserve">II) complexes have been synthesized and their DNA-binding properties studied, because copper is a biologically relevant element, and numerous copper(II) complexes have been found to have possible medical uses in the treatment of many diseases, including cancer. Compared with the number of studies dealing with mononuclear </w:t>
      </w:r>
      <w:proofErr w:type="gramStart"/>
      <w:r w:rsidRPr="00CB0D64">
        <w:rPr>
          <w:rFonts w:cs="Calibri"/>
          <w:bCs/>
          <w:sz w:val="24"/>
          <w:szCs w:val="24"/>
          <w:lang w:val="en-US"/>
        </w:rPr>
        <w:t>copper(</w:t>
      </w:r>
      <w:proofErr w:type="gramEnd"/>
      <w:r w:rsidRPr="00CB0D64">
        <w:rPr>
          <w:rFonts w:cs="Calibri"/>
          <w:bCs/>
          <w:sz w:val="24"/>
          <w:szCs w:val="24"/>
          <w:lang w:val="en-US"/>
        </w:rPr>
        <w:t xml:space="preserve">II) complexes, relatively few studies on dicopper(II) complexes have been reported. A number of nucleases have two or three metal ions in their catalytic centers, and numerous proteins containing </w:t>
      </w:r>
      <w:proofErr w:type="spellStart"/>
      <w:r w:rsidRPr="00CB0D64">
        <w:rPr>
          <w:rFonts w:cs="Calibri"/>
          <w:bCs/>
          <w:sz w:val="24"/>
          <w:szCs w:val="24"/>
          <w:lang w:val="en-US"/>
        </w:rPr>
        <w:t>bicopper</w:t>
      </w:r>
      <w:proofErr w:type="spellEnd"/>
      <w:r w:rsidRPr="00CB0D64">
        <w:rPr>
          <w:rFonts w:cs="Calibri"/>
          <w:bCs/>
          <w:sz w:val="24"/>
          <w:szCs w:val="24"/>
          <w:lang w:val="en-US"/>
        </w:rPr>
        <w:t xml:space="preserve"> centers play paramount roles in biology, including dioxygen transport or activation, electron transfer, reduction of nitrogen oxides, and hydrolytic chemistry.</w:t>
      </w:r>
      <w:r w:rsidRPr="00CB0D64">
        <w:rPr>
          <w:rFonts w:cs="Calibri"/>
          <w:bCs/>
          <w:sz w:val="24"/>
          <w:szCs w:val="24"/>
          <w:vertAlign w:val="superscript"/>
          <w:lang w:val="en-US"/>
        </w:rPr>
        <w:t xml:space="preserve"> </w:t>
      </w:r>
      <w:r w:rsidRPr="00CB0D64">
        <w:rPr>
          <w:rFonts w:cs="Calibri"/>
          <w:bCs/>
          <w:sz w:val="24"/>
          <w:szCs w:val="24"/>
          <w:lang w:val="en-US"/>
        </w:rPr>
        <w:t xml:space="preserve">This led us design and synthesize new </w:t>
      </w:r>
      <w:proofErr w:type="gramStart"/>
      <w:r w:rsidRPr="00CB0D64">
        <w:rPr>
          <w:rFonts w:cs="Calibri"/>
          <w:bCs/>
          <w:sz w:val="24"/>
          <w:szCs w:val="24"/>
          <w:lang w:val="en-US"/>
        </w:rPr>
        <w:t>dicopper(</w:t>
      </w:r>
      <w:proofErr w:type="gramEnd"/>
      <w:r w:rsidRPr="00CB0D64">
        <w:rPr>
          <w:rFonts w:cs="Calibri"/>
          <w:bCs/>
          <w:sz w:val="24"/>
          <w:szCs w:val="24"/>
          <w:lang w:val="en-US"/>
        </w:rPr>
        <w:t xml:space="preserve">II) complex to serve as a model to interact with CT DNA. Furthermore, the binding mode and interaction energy have also been calculated theoretically using molecular docking. A possible rationale behind bonding interaction is ascertained by density functional theory (DFT). For this purpose a </w:t>
      </w:r>
      <w:proofErr w:type="gramStart"/>
      <w:r w:rsidRPr="00CB0D64">
        <w:rPr>
          <w:rFonts w:cs="Calibri"/>
          <w:bCs/>
          <w:sz w:val="24"/>
          <w:szCs w:val="24"/>
          <w:lang w:val="en-US"/>
        </w:rPr>
        <w:t>Cu(</w:t>
      </w:r>
      <w:proofErr w:type="gramEnd"/>
      <w:r w:rsidRPr="00CB0D64">
        <w:rPr>
          <w:rFonts w:cs="Calibri"/>
          <w:bCs/>
          <w:sz w:val="24"/>
          <w:szCs w:val="24"/>
          <w:lang w:val="en-US"/>
        </w:rPr>
        <w:t xml:space="preserve">II) complex, </w:t>
      </w:r>
      <w:r w:rsidRPr="00CB0D64">
        <w:rPr>
          <w:rFonts w:cs="Calibri"/>
          <w:bCs/>
          <w:sz w:val="24"/>
          <w:szCs w:val="24"/>
          <w:lang w:val="en-IN"/>
        </w:rPr>
        <w:t>[Cu</w:t>
      </w:r>
      <w:r w:rsidRPr="00CB0D64">
        <w:rPr>
          <w:rFonts w:cs="Calibri"/>
          <w:bCs/>
          <w:sz w:val="24"/>
          <w:szCs w:val="24"/>
          <w:vertAlign w:val="subscript"/>
          <w:lang w:val="en-IN"/>
        </w:rPr>
        <w:t>2</w:t>
      </w:r>
      <w:r w:rsidRPr="00CB0D64">
        <w:rPr>
          <w:rFonts w:cs="Calibri"/>
          <w:bCs/>
          <w:sz w:val="24"/>
          <w:szCs w:val="24"/>
          <w:lang w:val="en-IN"/>
        </w:rPr>
        <w:t>(H</w:t>
      </w:r>
      <w:r w:rsidRPr="00CB0D64">
        <w:rPr>
          <w:rFonts w:cs="Calibri"/>
          <w:bCs/>
          <w:sz w:val="24"/>
          <w:szCs w:val="24"/>
          <w:vertAlign w:val="subscript"/>
          <w:lang w:val="en-IN"/>
        </w:rPr>
        <w:t>2</w:t>
      </w:r>
      <w:r w:rsidRPr="00CB0D64">
        <w:rPr>
          <w:rFonts w:cs="Calibri"/>
          <w:bCs/>
          <w:sz w:val="24"/>
          <w:szCs w:val="24"/>
          <w:lang w:val="en-IN"/>
        </w:rPr>
        <w:t>tea)</w:t>
      </w:r>
      <w:r w:rsidRPr="00CB0D64">
        <w:rPr>
          <w:rFonts w:cs="Calibri"/>
          <w:bCs/>
          <w:sz w:val="24"/>
          <w:szCs w:val="24"/>
          <w:vertAlign w:val="subscript"/>
          <w:lang w:val="en-IN"/>
        </w:rPr>
        <w:t>2</w:t>
      </w:r>
      <w:r w:rsidRPr="00CB0D64">
        <w:rPr>
          <w:rFonts w:cs="Calibri"/>
          <w:bCs/>
          <w:sz w:val="24"/>
          <w:szCs w:val="24"/>
          <w:lang w:val="en-IN"/>
        </w:rPr>
        <w:t>(4-methoxybenzoate)</w:t>
      </w:r>
      <w:r w:rsidRPr="00CB0D64">
        <w:rPr>
          <w:rFonts w:cs="Calibri"/>
          <w:bCs/>
          <w:sz w:val="24"/>
          <w:szCs w:val="24"/>
          <w:vertAlign w:val="subscript"/>
          <w:lang w:val="en-IN"/>
        </w:rPr>
        <w:t>2</w:t>
      </w:r>
      <w:r w:rsidRPr="00CB0D64">
        <w:rPr>
          <w:rFonts w:cs="Calibri"/>
          <w:bCs/>
          <w:sz w:val="24"/>
          <w:szCs w:val="24"/>
          <w:lang w:val="en-IN"/>
        </w:rPr>
        <w:t>] (</w:t>
      </w:r>
      <w:r w:rsidRPr="00CB0D64">
        <w:rPr>
          <w:rFonts w:cs="Calibri"/>
          <w:b/>
          <w:bCs/>
          <w:sz w:val="24"/>
          <w:szCs w:val="24"/>
          <w:lang w:val="en-IN"/>
        </w:rPr>
        <w:t>1</w:t>
      </w:r>
      <w:r w:rsidRPr="00CB0D64">
        <w:rPr>
          <w:rFonts w:cs="Calibri"/>
          <w:bCs/>
          <w:sz w:val="24"/>
          <w:szCs w:val="24"/>
          <w:lang w:val="en-IN"/>
        </w:rPr>
        <w:t>) was prepared by the reaction of CuSO</w:t>
      </w:r>
      <w:r w:rsidRPr="00CB0D64">
        <w:rPr>
          <w:rFonts w:cs="Calibri"/>
          <w:bCs/>
          <w:sz w:val="24"/>
          <w:szCs w:val="24"/>
          <w:vertAlign w:val="subscript"/>
          <w:lang w:val="en-IN"/>
        </w:rPr>
        <w:t>4</w:t>
      </w:r>
      <w:r w:rsidRPr="00CB0D64">
        <w:rPr>
          <w:rFonts w:cs="Calibri"/>
          <w:bCs/>
          <w:sz w:val="24"/>
          <w:szCs w:val="24"/>
          <w:lang w:val="en-IN"/>
        </w:rPr>
        <w:t>·5H</w:t>
      </w:r>
      <w:r w:rsidRPr="00CB0D64">
        <w:rPr>
          <w:rFonts w:cs="Calibri"/>
          <w:bCs/>
          <w:sz w:val="24"/>
          <w:szCs w:val="24"/>
          <w:vertAlign w:val="subscript"/>
          <w:lang w:val="en-IN"/>
        </w:rPr>
        <w:t>2</w:t>
      </w:r>
      <w:r w:rsidRPr="00CB0D64">
        <w:rPr>
          <w:rFonts w:cs="Calibri"/>
          <w:bCs/>
          <w:sz w:val="24"/>
          <w:szCs w:val="24"/>
          <w:lang w:val="en-IN"/>
        </w:rPr>
        <w:t xml:space="preserve">O with sodium salt of 4–methoxybenzoic acid in presence of 3-aminopropanol. The solution was allowed to stand at room temperature which upon slow </w:t>
      </w:r>
      <w:proofErr w:type="gramStart"/>
      <w:r w:rsidRPr="00CB0D64">
        <w:rPr>
          <w:rFonts w:cs="Calibri"/>
          <w:bCs/>
          <w:sz w:val="24"/>
          <w:szCs w:val="24"/>
          <w:lang w:val="en-IN"/>
        </w:rPr>
        <w:t>evaporation,</w:t>
      </w:r>
      <w:proofErr w:type="gramEnd"/>
      <w:r w:rsidRPr="00CB0D64">
        <w:rPr>
          <w:rFonts w:cs="Calibri"/>
          <w:bCs/>
          <w:sz w:val="24"/>
          <w:szCs w:val="24"/>
          <w:lang w:val="en-IN"/>
        </w:rPr>
        <w:t xml:space="preserve"> produced blue coloured crystals of </w:t>
      </w:r>
      <w:r w:rsidRPr="00CB0D64">
        <w:rPr>
          <w:rFonts w:cs="Calibri"/>
          <w:b/>
          <w:bCs/>
          <w:sz w:val="24"/>
          <w:szCs w:val="24"/>
          <w:lang w:val="en-IN"/>
        </w:rPr>
        <w:t>1</w:t>
      </w:r>
      <w:r w:rsidRPr="00CB0D64">
        <w:rPr>
          <w:rFonts w:cs="Calibri"/>
          <w:bCs/>
          <w:sz w:val="24"/>
          <w:szCs w:val="24"/>
          <w:lang w:val="en-IN"/>
        </w:rPr>
        <w:t xml:space="preserve">. </w:t>
      </w:r>
      <w:r w:rsidRPr="00CB0D64">
        <w:rPr>
          <w:rFonts w:cs="Calibri"/>
          <w:b/>
          <w:sz w:val="24"/>
          <w:szCs w:val="24"/>
          <w:lang w:val="en-IN"/>
        </w:rPr>
        <w:t>1</w:t>
      </w:r>
      <w:r w:rsidRPr="00CB0D64">
        <w:rPr>
          <w:rFonts w:cs="Calibri"/>
          <w:sz w:val="24"/>
          <w:szCs w:val="24"/>
          <w:lang w:val="en-IN"/>
        </w:rPr>
        <w:t xml:space="preserve"> crystallizes in the triclinic system with P 1 space group, and the unit cell includes one dinuclear unit. Each </w:t>
      </w:r>
      <w:proofErr w:type="spellStart"/>
      <w:r w:rsidRPr="00CB0D64">
        <w:rPr>
          <w:rFonts w:cs="Calibri"/>
          <w:sz w:val="24"/>
          <w:szCs w:val="24"/>
          <w:lang w:val="en-IN"/>
        </w:rPr>
        <w:t>dimer</w:t>
      </w:r>
      <w:proofErr w:type="spellEnd"/>
      <w:r w:rsidRPr="00CB0D64">
        <w:rPr>
          <w:rFonts w:cs="Calibri"/>
          <w:sz w:val="24"/>
          <w:szCs w:val="24"/>
          <w:lang w:val="en-IN"/>
        </w:rPr>
        <w:t xml:space="preserve"> consists of [</w:t>
      </w:r>
      <w:proofErr w:type="gramStart"/>
      <w:r w:rsidRPr="00CB0D64">
        <w:rPr>
          <w:rFonts w:cs="Calibri"/>
          <w:sz w:val="24"/>
          <w:szCs w:val="24"/>
          <w:lang w:val="en-IN"/>
        </w:rPr>
        <w:t>Cu</w:t>
      </w:r>
      <w:r w:rsidRPr="00CB0D64">
        <w:rPr>
          <w:rFonts w:cs="Calibri"/>
          <w:sz w:val="24"/>
          <w:szCs w:val="24"/>
          <w:vertAlign w:val="subscript"/>
          <w:lang w:val="en-IN"/>
        </w:rPr>
        <w:t>2</w:t>
      </w:r>
      <w:r w:rsidRPr="00CB0D64">
        <w:rPr>
          <w:rFonts w:cs="Calibri"/>
          <w:sz w:val="24"/>
          <w:szCs w:val="24"/>
          <w:lang w:val="en-IN"/>
        </w:rPr>
        <w:t>(</w:t>
      </w:r>
      <w:proofErr w:type="gramEnd"/>
      <w:r w:rsidRPr="00CB0D64">
        <w:rPr>
          <w:rFonts w:cs="Calibri"/>
          <w:sz w:val="24"/>
          <w:szCs w:val="24"/>
          <w:lang w:val="en-IN"/>
        </w:rPr>
        <w:t>H</w:t>
      </w:r>
      <w:r w:rsidRPr="00CB0D64">
        <w:rPr>
          <w:rFonts w:cs="Calibri"/>
          <w:sz w:val="24"/>
          <w:szCs w:val="24"/>
          <w:vertAlign w:val="subscript"/>
          <w:lang w:val="en-IN"/>
        </w:rPr>
        <w:t>2</w:t>
      </w:r>
      <w:r w:rsidRPr="00CB0D64">
        <w:rPr>
          <w:rFonts w:cs="Calibri"/>
          <w:sz w:val="24"/>
          <w:szCs w:val="24"/>
          <w:lang w:val="en-IN"/>
        </w:rPr>
        <w:t>tea)</w:t>
      </w:r>
      <w:r w:rsidRPr="00CB0D64">
        <w:rPr>
          <w:rFonts w:cs="Calibri"/>
          <w:sz w:val="24"/>
          <w:szCs w:val="24"/>
          <w:vertAlign w:val="subscript"/>
          <w:lang w:val="en-IN"/>
        </w:rPr>
        <w:t>2</w:t>
      </w:r>
      <w:r w:rsidRPr="00CB0D64">
        <w:rPr>
          <w:rFonts w:cs="Calibri"/>
          <w:sz w:val="24"/>
          <w:szCs w:val="24"/>
          <w:lang w:val="en-IN"/>
        </w:rPr>
        <w:t>]</w:t>
      </w:r>
      <w:r w:rsidRPr="00CB0D64">
        <w:rPr>
          <w:rFonts w:cs="Calibri"/>
          <w:sz w:val="24"/>
          <w:szCs w:val="24"/>
          <w:vertAlign w:val="superscript"/>
          <w:lang w:val="en-IN"/>
        </w:rPr>
        <w:t xml:space="preserve">2+ </w:t>
      </w:r>
      <w:r w:rsidRPr="00CB0D64">
        <w:rPr>
          <w:rFonts w:cs="Calibri"/>
          <w:sz w:val="24"/>
          <w:szCs w:val="24"/>
          <w:lang w:val="en-IN"/>
        </w:rPr>
        <w:t>unit which is linked to benzoate molecule through oxygen atoms.</w:t>
      </w:r>
    </w:p>
    <w:p w:rsidR="00322B57" w:rsidRDefault="00322B57"/>
    <w:sectPr w:rsidR="00322B57" w:rsidSect="00322B5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CB0D64"/>
    <w:rsid w:val="00322B57"/>
    <w:rsid w:val="00CB0D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B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SCB02ArticleText">
    <w:name w:val="RSC B02 Article Text"/>
    <w:basedOn w:val="Normal"/>
    <w:link w:val="RSCB02ArticleTextChar"/>
    <w:qFormat/>
    <w:rsid w:val="00CB0D64"/>
    <w:pPr>
      <w:spacing w:after="0" w:line="240" w:lineRule="exact"/>
      <w:jc w:val="both"/>
    </w:pPr>
    <w:rPr>
      <w:rFonts w:ascii="Calibri" w:eastAsia="Calibri" w:hAnsi="Calibri" w:cs="Times New Roman"/>
      <w:w w:val="108"/>
      <w:sz w:val="18"/>
      <w:szCs w:val="18"/>
      <w:lang w:val="en-GB"/>
    </w:rPr>
  </w:style>
  <w:style w:type="character" w:customStyle="1" w:styleId="RSCB02ArticleTextChar">
    <w:name w:val="RSC B02 Article Text Char"/>
    <w:basedOn w:val="DefaultParagraphFont"/>
    <w:link w:val="RSCB02ArticleText"/>
    <w:rsid w:val="00CB0D64"/>
    <w:rPr>
      <w:rFonts w:ascii="Calibri" w:eastAsia="Calibri" w:hAnsi="Calibri" w:cs="Times New Roman"/>
      <w:w w:val="108"/>
      <w:sz w:val="18"/>
      <w:szCs w:val="1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449</Words>
  <Characters>2564</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 Shahid</dc:creator>
  <cp:lastModifiedBy>Dr. M Shahid</cp:lastModifiedBy>
  <cp:revision>1</cp:revision>
  <dcterms:created xsi:type="dcterms:W3CDTF">2018-01-04T08:58:00Z</dcterms:created>
  <dcterms:modified xsi:type="dcterms:W3CDTF">2018-01-04T09:01:00Z</dcterms:modified>
</cp:coreProperties>
</file>