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348BA" w:rsidP="00494130">
      <w:pPr>
        <w:pStyle w:val="Heading1"/>
        <w:spacing w:before="170"/>
        <w:ind w:left="0"/>
      </w:pPr>
      <w:r>
        <w:rPr>
          <w:color w:val="337AB7"/>
        </w:rPr>
        <w:t>Good Supply Practices</w:t>
      </w:r>
      <w:r w:rsidR="00A9710C">
        <w:rPr>
          <w:color w:val="337AB7"/>
        </w:rPr>
        <w:t xml:space="preserve">: </w:t>
      </w:r>
      <w:r>
        <w:rPr>
          <w:color w:val="337AB7"/>
        </w:rPr>
        <w:t>Why are we still vulnerable</w:t>
      </w:r>
      <w:r w:rsidR="00E66671">
        <w:rPr>
          <w:color w:val="337AB7"/>
        </w:rPr>
        <w:t>?</w:t>
      </w:r>
      <w:bookmarkStart w:id="0" w:name="_GoBack"/>
      <w:bookmarkEnd w:id="0"/>
    </w:p>
    <w:p w:rsidR="005973B9" w:rsidRDefault="00C348BA" w:rsidP="005973B9">
      <w:pPr>
        <w:pStyle w:val="BodyText"/>
        <w:spacing w:before="73" w:line="198" w:lineRule="exact"/>
        <w:ind w:left="100" w:right="5987"/>
        <w:rPr>
          <w:rFonts w:ascii="Arial"/>
        </w:rPr>
      </w:pPr>
      <w:r>
        <w:rPr>
          <w:rFonts w:ascii="Arial"/>
        </w:rPr>
        <w:t>Troy Fugate, Vice President, Compliance Insight, Inc.</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0A7359" w:rsidRPr="000A7359" w:rsidRDefault="00A9710C" w:rsidP="000A7359">
      <w:pPr>
        <w:pStyle w:val="NormalWeb"/>
        <w:rPr>
          <w:rFonts w:asciiTheme="minorHAnsi" w:hAnsiTheme="minorHAnsi"/>
          <w:sz w:val="18"/>
          <w:szCs w:val="18"/>
        </w:rPr>
      </w:pPr>
      <w:r w:rsidRPr="000A7359">
        <w:rPr>
          <w:rFonts w:asciiTheme="minorHAnsi" w:hAnsiTheme="minorHAnsi"/>
          <w:sz w:val="18"/>
          <w:szCs w:val="18"/>
        </w:rPr>
        <w:t xml:space="preserve">Statement of the Problem: </w:t>
      </w:r>
      <w:r w:rsidR="000A7359" w:rsidRPr="000A7359">
        <w:rPr>
          <w:rFonts w:asciiTheme="minorHAnsi" w:hAnsiTheme="minorHAnsi"/>
          <w:sz w:val="18"/>
          <w:szCs w:val="18"/>
        </w:rPr>
        <w:t xml:space="preserve">Toxic Cough Syrup in Panama.  </w:t>
      </w:r>
      <w:r w:rsidR="000A7359" w:rsidRPr="000A7359">
        <w:rPr>
          <w:rFonts w:asciiTheme="minorHAnsi" w:hAnsiTheme="minorHAnsi"/>
          <w:sz w:val="18"/>
          <w:szCs w:val="18"/>
        </w:rPr>
        <w:t xml:space="preserve">In 2007, </w:t>
      </w:r>
      <w:r w:rsidR="000A7359">
        <w:rPr>
          <w:rFonts w:asciiTheme="minorHAnsi" w:hAnsiTheme="minorHAnsi"/>
          <w:sz w:val="18"/>
          <w:szCs w:val="18"/>
        </w:rPr>
        <w:t>when 4-year old Allan Gutierrez died, the symptoms that he displayed baffled doctors.  Severe nausea, violent heart palpitations and paralysis were among the issues noted that eventually lead to at least 365 confirmed deaths</w:t>
      </w:r>
      <w:r w:rsidR="000A7359" w:rsidRPr="000A7359">
        <w:rPr>
          <w:rFonts w:asciiTheme="minorHAnsi" w:hAnsiTheme="minorHAnsi"/>
          <w:sz w:val="18"/>
          <w:szCs w:val="18"/>
        </w:rPr>
        <w:t>.</w:t>
      </w:r>
    </w:p>
    <w:p w:rsidR="000A7359" w:rsidRDefault="000A7359" w:rsidP="000A7359">
      <w:pPr>
        <w:rPr>
          <w:rFonts w:asciiTheme="minorHAnsi" w:hAnsiTheme="minorHAnsi"/>
          <w:sz w:val="18"/>
          <w:szCs w:val="18"/>
        </w:rPr>
      </w:pPr>
      <w:r w:rsidRPr="000A7359">
        <w:rPr>
          <w:rFonts w:asciiTheme="minorHAnsi" w:hAnsiTheme="minorHAnsi"/>
          <w:sz w:val="18"/>
          <w:szCs w:val="18"/>
        </w:rPr>
        <w:t xml:space="preserve">At first, the investigation was difficult, but eventually it was discovered that the imported diethylene glycol used in the medicine was originally named “TD </w:t>
      </w:r>
      <w:proofErr w:type="spellStart"/>
      <w:r w:rsidRPr="000A7359">
        <w:rPr>
          <w:rFonts w:asciiTheme="minorHAnsi" w:hAnsiTheme="minorHAnsi"/>
          <w:sz w:val="18"/>
          <w:szCs w:val="18"/>
        </w:rPr>
        <w:t>glycerine</w:t>
      </w:r>
      <w:proofErr w:type="spellEnd"/>
      <w:r w:rsidRPr="000A7359">
        <w:rPr>
          <w:rFonts w:asciiTheme="minorHAnsi" w:hAnsiTheme="minorHAnsi"/>
          <w:sz w:val="18"/>
          <w:szCs w:val="18"/>
        </w:rPr>
        <w:t xml:space="preserve">,” which apparently indicates that it is a </w:t>
      </w:r>
      <w:proofErr w:type="spellStart"/>
      <w:r w:rsidRPr="000A7359">
        <w:rPr>
          <w:rFonts w:asciiTheme="minorHAnsi" w:hAnsiTheme="minorHAnsi"/>
          <w:sz w:val="18"/>
          <w:szCs w:val="18"/>
        </w:rPr>
        <w:t>glycerine</w:t>
      </w:r>
      <w:proofErr w:type="spellEnd"/>
      <w:r w:rsidRPr="000A7359">
        <w:rPr>
          <w:rFonts w:asciiTheme="minorHAnsi" w:hAnsiTheme="minorHAnsi"/>
          <w:sz w:val="18"/>
          <w:szCs w:val="18"/>
        </w:rPr>
        <w:t xml:space="preserve"> substitute. </w:t>
      </w:r>
    </w:p>
    <w:p w:rsidR="000A7359" w:rsidRDefault="000A7359" w:rsidP="000A7359">
      <w:pPr>
        <w:rPr>
          <w:rFonts w:asciiTheme="minorHAnsi" w:hAnsiTheme="minorHAnsi"/>
          <w:sz w:val="18"/>
          <w:szCs w:val="18"/>
        </w:rPr>
      </w:pPr>
    </w:p>
    <w:p w:rsidR="000A7359" w:rsidRDefault="000A7359" w:rsidP="000A7359">
      <w:pPr>
        <w:rPr>
          <w:rFonts w:asciiTheme="minorHAnsi" w:hAnsiTheme="minorHAnsi"/>
          <w:sz w:val="18"/>
          <w:szCs w:val="18"/>
        </w:rPr>
      </w:pPr>
      <w:r w:rsidRPr="000A7359">
        <w:rPr>
          <w:rFonts w:asciiTheme="minorHAnsi" w:hAnsiTheme="minorHAnsi"/>
          <w:sz w:val="18"/>
          <w:szCs w:val="18"/>
        </w:rPr>
        <w:t xml:space="preserve">The fatal ingredient originated in China. It was shipped to a Spanish company and then on to a private company, </w:t>
      </w:r>
      <w:proofErr w:type="spellStart"/>
      <w:r w:rsidRPr="000A7359">
        <w:rPr>
          <w:rFonts w:asciiTheme="minorHAnsi" w:hAnsiTheme="minorHAnsi"/>
          <w:sz w:val="18"/>
          <w:szCs w:val="18"/>
        </w:rPr>
        <w:t>Medicom</w:t>
      </w:r>
      <w:proofErr w:type="spellEnd"/>
      <w:r w:rsidRPr="000A7359">
        <w:rPr>
          <w:rFonts w:asciiTheme="minorHAnsi" w:hAnsiTheme="minorHAnsi"/>
          <w:sz w:val="18"/>
          <w:szCs w:val="18"/>
        </w:rPr>
        <w:t xml:space="preserve">, in Panama. </w:t>
      </w:r>
      <w:proofErr w:type="spellStart"/>
      <w:r w:rsidRPr="000A7359">
        <w:rPr>
          <w:rFonts w:asciiTheme="minorHAnsi" w:hAnsiTheme="minorHAnsi"/>
          <w:sz w:val="18"/>
          <w:szCs w:val="18"/>
        </w:rPr>
        <w:t>Medicom</w:t>
      </w:r>
      <w:proofErr w:type="spellEnd"/>
      <w:r w:rsidRPr="000A7359">
        <w:rPr>
          <w:rFonts w:asciiTheme="minorHAnsi" w:hAnsiTheme="minorHAnsi"/>
          <w:sz w:val="18"/>
          <w:szCs w:val="18"/>
        </w:rPr>
        <w:t xml:space="preserve"> resold it to the country's Social Security system, which mixed the "medicine" in its laboratory. Panamanians thought they were getting glycerin, a component of many medicines.</w:t>
      </w:r>
    </w:p>
    <w:p w:rsidR="00A956E5" w:rsidRDefault="00A956E5" w:rsidP="000A7359">
      <w:pPr>
        <w:rPr>
          <w:rFonts w:asciiTheme="minorHAnsi" w:hAnsiTheme="minorHAnsi"/>
          <w:sz w:val="18"/>
          <w:szCs w:val="18"/>
        </w:rPr>
      </w:pPr>
    </w:p>
    <w:p w:rsidR="000A7359" w:rsidRDefault="00A956E5" w:rsidP="00A956E5">
      <w:pPr>
        <w:widowControl/>
        <w:rPr>
          <w:rFonts w:asciiTheme="minorHAnsi" w:hAnsiTheme="minorHAnsi"/>
          <w:sz w:val="18"/>
          <w:szCs w:val="18"/>
        </w:rPr>
      </w:pPr>
      <w:r w:rsidRPr="00A956E5">
        <w:rPr>
          <w:rFonts w:asciiTheme="minorHAnsi" w:hAnsiTheme="minorHAnsi"/>
          <w:sz w:val="18"/>
          <w:szCs w:val="18"/>
        </w:rPr>
        <w:t>The poisonings seem to be a conflue</w:t>
      </w:r>
      <w:r>
        <w:rPr>
          <w:rFonts w:asciiTheme="minorHAnsi" w:hAnsiTheme="minorHAnsi"/>
          <w:sz w:val="18"/>
          <w:szCs w:val="18"/>
        </w:rPr>
        <w:t xml:space="preserve">nce of confusion over labeling and </w:t>
      </w:r>
      <w:r w:rsidRPr="00A956E5">
        <w:rPr>
          <w:rFonts w:asciiTheme="minorHAnsi" w:hAnsiTheme="minorHAnsi"/>
          <w:sz w:val="18"/>
          <w:szCs w:val="18"/>
        </w:rPr>
        <w:t>sloppy controls along the supply chain.</w:t>
      </w:r>
    </w:p>
    <w:p w:rsidR="00A956E5" w:rsidRDefault="00A956E5" w:rsidP="00A956E5">
      <w:pPr>
        <w:widowControl/>
        <w:rPr>
          <w:rFonts w:asciiTheme="minorHAnsi" w:hAnsiTheme="minorHAnsi"/>
          <w:sz w:val="18"/>
          <w:szCs w:val="18"/>
        </w:rPr>
      </w:pPr>
    </w:p>
    <w:p w:rsidR="00A956E5" w:rsidRPr="000A7359" w:rsidRDefault="00A956E5" w:rsidP="00A956E5">
      <w:pPr>
        <w:widowControl/>
        <w:rPr>
          <w:rFonts w:asciiTheme="minorHAnsi" w:hAnsiTheme="minorHAnsi"/>
          <w:sz w:val="18"/>
          <w:szCs w:val="18"/>
        </w:rPr>
      </w:pPr>
      <w:r>
        <w:rPr>
          <w:rFonts w:asciiTheme="minorHAnsi" w:hAnsiTheme="minorHAnsi"/>
          <w:sz w:val="18"/>
          <w:szCs w:val="18"/>
        </w:rPr>
        <w:t>Why then did this event happen when we have FDA or other regulations in place along with Quality by Design concepts, Operational Excellence</w:t>
      </w:r>
      <w:r w:rsidR="00890F18">
        <w:rPr>
          <w:rFonts w:asciiTheme="minorHAnsi" w:hAnsiTheme="minorHAnsi"/>
          <w:sz w:val="18"/>
          <w:szCs w:val="18"/>
        </w:rPr>
        <w:t>, Supplier Relationship Management, etc.?  Thus, in 2012, a group of academia, industry and regulatory colleagues met to identify the actual problem and resolve the issues.  Initially focusing on the suppliers only, it became evident that various factors were at risk across the entire supply chain including the finished manufacturers.  After five years, the</w:t>
      </w:r>
      <w:r w:rsidR="008239CE">
        <w:rPr>
          <w:rFonts w:asciiTheme="minorHAnsi" w:hAnsiTheme="minorHAnsi"/>
          <w:sz w:val="18"/>
          <w:szCs w:val="18"/>
        </w:rPr>
        <w:t xml:space="preserve"> Xavier Health</w:t>
      </w:r>
      <w:r w:rsidR="00890F18">
        <w:rPr>
          <w:rFonts w:asciiTheme="minorHAnsi" w:hAnsiTheme="minorHAnsi"/>
          <w:sz w:val="18"/>
          <w:szCs w:val="18"/>
        </w:rPr>
        <w:t xml:space="preserve"> initiative has evolved to the feasibility stage</w:t>
      </w:r>
      <w:r w:rsidR="00C235DE">
        <w:rPr>
          <w:rFonts w:asciiTheme="minorHAnsi" w:hAnsiTheme="minorHAnsi"/>
          <w:sz w:val="18"/>
          <w:szCs w:val="18"/>
        </w:rPr>
        <w:t xml:space="preserve"> and is nearing completion with adoption considerations by several regulatory bodies.  </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890F18">
      <w:pPr>
        <w:pStyle w:val="BodyText"/>
        <w:spacing w:before="2"/>
        <w:rPr>
          <w:rFonts w:ascii="Arial"/>
          <w:b/>
          <w:sz w:val="16"/>
        </w:rPr>
      </w:pPr>
      <w:r>
        <w:rPr>
          <w:rFonts w:ascii="Arial"/>
          <w:b/>
          <w:noProof/>
          <w:sz w:val="16"/>
        </w:rPr>
        <mc:AlternateContent>
          <mc:Choice Requires="wps">
            <w:drawing>
              <wp:inline distT="0" distB="0" distL="0" distR="0">
                <wp:extent cx="2378719" cy="1681729"/>
                <wp:effectExtent l="0" t="0" r="21590" b="13970"/>
                <wp:docPr id="2" name="Text Box 2"/>
                <wp:cNvGraphicFramePr/>
                <a:graphic xmlns:a="http://schemas.openxmlformats.org/drawingml/2006/main">
                  <a:graphicData uri="http://schemas.microsoft.com/office/word/2010/wordprocessingShape">
                    <wps:wsp>
                      <wps:cNvSpPr txBox="1"/>
                      <wps:spPr>
                        <a:xfrm>
                          <a:off x="0" y="0"/>
                          <a:ext cx="2378719" cy="1681729"/>
                        </a:xfrm>
                        <a:prstGeom prst="rect">
                          <a:avLst/>
                        </a:prstGeom>
                        <a:solidFill>
                          <a:schemeClr val="lt1"/>
                        </a:solidFill>
                        <a:ln w="6350">
                          <a:solidFill>
                            <a:prstClr val="black"/>
                          </a:solidFill>
                        </a:ln>
                      </wps:spPr>
                      <wps:txbx>
                        <w:txbxContent>
                          <w:p w:rsidR="00890F18" w:rsidRDefault="00890F18">
                            <w:r>
                              <w:object w:dxaOrig="7194" w:dyaOrig="5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45pt;height:155.1pt">
                                  <v:imagedata r:id="rId9" o:title=""/>
                                </v:shape>
                                <o:OLEObject Type="Embed" ProgID="PowerPoint.Slide.12" ShapeID="_x0000_i1025" DrawAspect="Content" ObjectID="_1559986418" r:id="rId1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187.3pt;height:132.4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jRSTAIAAKAEAAAOAAAAZHJzL2Uyb0RvYy54bWysVE2P2jAQvVfqf7B8LyFZlo+IsKKsqCqh&#10;3ZWg2rNxHBLV8Vi2IaG/vmMnsOy2p6oXM555eZ55M8P8oa0lOQljK1AZjQdDSoTikFfqkNEfu/WX&#10;KSXWMZUzCUpk9CwsfVh8/jRvdCoSKEHmwhAkUTZtdEZL53QaRZaXomZ2AFooDBZgaubwag5RbliD&#10;7LWMkuFwHDVgcm2AC2vR+9gF6SLwF4Xg7rkorHBEZhRzc+E04dz7M1rMWXowTJcV79Ng/5BFzSqF&#10;j16pHplj5GiqP6jqihuwULgBhzqCoqi4CDVgNfHwQzXbkmkRakFxrL7KZP8fLX86vRhS5RlNKFGs&#10;xhbtROvIV2hJ4tVptE0RtNUIcy26scsXv0WnL7otTO1/sRyCcdT5fNXWk3F0JneT6SSeUcIxFo+n&#10;8SSZeZ7o7XNtrPsmoCbeyKjB5gVN2WljXQe9QPxrFmSVryspw8UPjFhJQ04MWy1dSBLJ36GkIk1G&#10;x3f3w0D8Luapr9/vJeM/+/RuUMgnFebsRemK95Zr922v1B7yMwploBs0q/m6Qt4Ns+6FGZws1Aa3&#10;xT3jUUjAZKC3KCnB/Pqb3+Ox4RilpMFJzajCVaJEflc4CLN4NPKDHS6j+0mCF3Mb2d9G1LFeAeoT&#10;41ZqHkyPd/JiFgbqV1yppX8TQ0xxfDmj7mKuXLc9uJJcLJcBhKOsmduoreae2vfDq7lrX5nRfTcd&#10;DsITXCaapR+a2mFDJ/Xy6GBdhY57eTtNe9VxDcLM9Cvr9+z2HlBvfyyL3wAAAP//AwBQSwMEFAAG&#10;AAgAAAAhANmaV8veAAAABQEAAA8AAABkcnMvZG93bnJldi54bWxMj81OwzAQhO+VeAdrkbhRpz8K&#10;VYhTVS1IIA6Igjg78ZKktddR7Lbh7bvlQi8rjWY0822+HJwVR+xD60nBZJyAQKq8aalW8PX5fL8A&#10;EaImo60nVPCLAZbFzSjXmfEn+sDjNtaCSyhkWkETY5dJGaoGnQ5j3yGx9+N7pyPLvpam1ycud1ZO&#10;kySVTrfEC43ucN1gtd8enIJ2SF+S8ru2bv82eX1/krv1brZR6u52WD2CiDjE/zBc8BkdCmYq/YFM&#10;EFYBPxL/Lnuzh3kKolQwTecLkEUur+mLMwAAAP//AwBQSwECLQAUAAYACAAAACEAtoM4kv4AAADh&#10;AQAAEwAAAAAAAAAAAAAAAAAAAAAAW0NvbnRlbnRfVHlwZXNdLnhtbFBLAQItABQABgAIAAAAIQA4&#10;/SH/1gAAAJQBAAALAAAAAAAAAAAAAAAAAC8BAABfcmVscy8ucmVsc1BLAQItABQABgAIAAAAIQBH&#10;djRSTAIAAKAEAAAOAAAAAAAAAAAAAAAAAC4CAABkcnMvZTJvRG9jLnhtbFBLAQItABQABgAIAAAA&#10;IQDZmlfL3gAAAAUBAAAPAAAAAAAAAAAAAAAAAKYEAABkcnMvZG93bnJldi54bWxQSwUGAAAAAAQA&#10;BADzAAAAsQUAAAAA&#10;" fillcolor="white [3201]" strokeweight=".5pt">
                <v:textbox style="mso-fit-shape-to-text:t">
                  <w:txbxContent>
                    <w:p w:rsidR="00890F18" w:rsidRDefault="00890F18">
                      <w:r>
                        <w:object w:dxaOrig="7194" w:dyaOrig="5389">
                          <v:shape id="_x0000_i1025" type="#_x0000_t75" style="width:207.45pt;height:155.1pt">
                            <v:imagedata r:id="rId9" o:title=""/>
                          </v:shape>
                          <o:OLEObject Type="Embed" ProgID="PowerPoint.Slide.12" ShapeID="_x0000_i1025" DrawAspect="Content" ObjectID="_1559986418" r:id="rId11"/>
                        </w:object>
                      </w:r>
                    </w:p>
                  </w:txbxContent>
                </v:textbox>
                <w10:anchorlock/>
              </v:shape>
            </w:pict>
          </mc:Fallback>
        </mc:AlternateContent>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Default="008239CE" w:rsidP="00C235DE">
      <w:pPr>
        <w:pStyle w:val="ListParagraph"/>
        <w:numPr>
          <w:ilvl w:val="0"/>
          <w:numId w:val="4"/>
        </w:numPr>
        <w:tabs>
          <w:tab w:val="left" w:pos="384"/>
        </w:tabs>
        <w:ind w:right="117"/>
      </w:pPr>
      <w:r>
        <w:t xml:space="preserve">Institute of </w:t>
      </w:r>
      <w:proofErr w:type="spellStart"/>
      <w:r>
        <w:t>GxP</w:t>
      </w:r>
      <w:proofErr w:type="spellEnd"/>
      <w:r>
        <w:t xml:space="preserve"> Compliance 2008; Pharmaceutical Cleaning:  A Comprehensive Approach</w:t>
      </w:r>
    </w:p>
    <w:p w:rsidR="008239CE" w:rsidRDefault="008239CE" w:rsidP="00C235DE">
      <w:pPr>
        <w:pStyle w:val="ListParagraph"/>
        <w:numPr>
          <w:ilvl w:val="0"/>
          <w:numId w:val="4"/>
        </w:numPr>
        <w:tabs>
          <w:tab w:val="left" w:pos="384"/>
        </w:tabs>
        <w:ind w:right="117"/>
      </w:pPr>
      <w:r>
        <w:t>Compliance Handbook for Pharmaceuticals, Medical Devices and Biologics; CRC Press 2003; The Batch Record:  A Blueprint for Quality and Compliance</w:t>
      </w:r>
    </w:p>
    <w:p w:rsidR="008239CE" w:rsidRDefault="008239CE" w:rsidP="00C235DE">
      <w:pPr>
        <w:pStyle w:val="ListParagraph"/>
        <w:numPr>
          <w:ilvl w:val="0"/>
          <w:numId w:val="4"/>
        </w:numPr>
        <w:tabs>
          <w:tab w:val="left" w:pos="384"/>
        </w:tabs>
        <w:ind w:right="117"/>
      </w:pPr>
      <w:r>
        <w:t xml:space="preserve">Six Mindset Shifts That Will Improve </w:t>
      </w:r>
      <w:proofErr w:type="spellStart"/>
      <w:r>
        <w:t>GxP</w:t>
      </w:r>
      <w:proofErr w:type="spellEnd"/>
      <w:r>
        <w:t xml:space="preserve"> Compliance, LinkedIn Publishing; 2017</w:t>
      </w:r>
    </w:p>
    <w:p w:rsidR="008239CE" w:rsidRDefault="008239CE" w:rsidP="00C235DE">
      <w:pPr>
        <w:pStyle w:val="ListParagraph"/>
        <w:numPr>
          <w:ilvl w:val="0"/>
          <w:numId w:val="4"/>
        </w:numPr>
        <w:tabs>
          <w:tab w:val="left" w:pos="384"/>
        </w:tabs>
        <w:ind w:right="117"/>
      </w:pPr>
      <w:r>
        <w:t>Putting the “c” Into Leadership:  A cGMP Perspective, 2017</w:t>
      </w:r>
    </w:p>
    <w:p w:rsidR="008239CE" w:rsidRPr="008756E6" w:rsidRDefault="008239CE" w:rsidP="00C235DE">
      <w:pPr>
        <w:pStyle w:val="ListParagraph"/>
        <w:numPr>
          <w:ilvl w:val="0"/>
          <w:numId w:val="4"/>
        </w:numPr>
        <w:tabs>
          <w:tab w:val="left" w:pos="384"/>
        </w:tabs>
        <w:ind w:right="117"/>
      </w:pPr>
      <w:r>
        <w:t>Changing the Habit from FDA Non-Compliance to Compliance 2016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4368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E66671" w:rsidP="00404E5B">
      <w:pPr>
        <w:spacing w:before="92"/>
        <w:ind w:right="4234"/>
        <w:rPr>
          <w:rFonts w:ascii="Arial"/>
        </w:rPr>
      </w:pPr>
      <w:r>
        <w:rPr>
          <w:noProof/>
        </w:rPr>
        <mc:AlternateContent>
          <mc:Choice Requires="wps">
            <w:drawing>
              <wp:anchor distT="0" distB="0" distL="114300" distR="114300" simplePos="0" relativeHeight="251658240" behindDoc="0" locked="0" layoutInCell="1" allowOverlap="1">
                <wp:simplePos x="0" y="0"/>
                <wp:positionH relativeFrom="column">
                  <wp:posOffset>2540</wp:posOffset>
                </wp:positionH>
                <wp:positionV relativeFrom="paragraph">
                  <wp:posOffset>56515</wp:posOffset>
                </wp:positionV>
                <wp:extent cx="1406525" cy="984250"/>
                <wp:effectExtent l="0" t="0" r="22225" b="25400"/>
                <wp:wrapSquare wrapText="bothSides"/>
                <wp:docPr id="3" name="Text Box 3"/>
                <wp:cNvGraphicFramePr/>
                <a:graphic xmlns:a="http://schemas.openxmlformats.org/drawingml/2006/main">
                  <a:graphicData uri="http://schemas.microsoft.com/office/word/2010/wordprocessingShape">
                    <wps:wsp>
                      <wps:cNvSpPr txBox="1"/>
                      <wps:spPr>
                        <a:xfrm>
                          <a:off x="0" y="0"/>
                          <a:ext cx="1406525" cy="984250"/>
                        </a:xfrm>
                        <a:prstGeom prst="rect">
                          <a:avLst/>
                        </a:prstGeom>
                        <a:solidFill>
                          <a:schemeClr val="lt1"/>
                        </a:solidFill>
                        <a:ln w="6350">
                          <a:solidFill>
                            <a:prstClr val="black"/>
                          </a:solidFill>
                        </a:ln>
                      </wps:spPr>
                      <wps:txbx>
                        <w:txbxContent>
                          <w:p w:rsidR="00E66671" w:rsidRDefault="00E66671">
                            <w:r>
                              <w:rPr>
                                <w:noProof/>
                              </w:rPr>
                              <w:drawing>
                                <wp:inline distT="0" distB="0" distL="0" distR="0">
                                  <wp:extent cx="1167700" cy="8440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oy office.jpg"/>
                                          <pic:cNvPicPr/>
                                        </pic:nvPicPr>
                                        <pic:blipFill>
                                          <a:blip r:embed="rId12">
                                            <a:extLst>
                                              <a:ext uri="{28A0092B-C50C-407E-A947-70E740481C1C}">
                                                <a14:useLocalDpi xmlns:a14="http://schemas.microsoft.com/office/drawing/2010/main" val="0"/>
                                              </a:ext>
                                            </a:extLst>
                                          </a:blip>
                                          <a:stretch>
                                            <a:fillRect/>
                                          </a:stretch>
                                        </pic:blipFill>
                                        <pic:spPr>
                                          <a:xfrm>
                                            <a:off x="0" y="0"/>
                                            <a:ext cx="1181797" cy="85425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pt;margin-top:4.45pt;width:110.75pt;height: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HkZSwIAAKgEAAAOAAAAZHJzL2Uyb0RvYy54bWysVEtvGjEQvlfqf7B8L8u7yYolokRUlVAS&#10;CaKcjdcGq16Paxt26a/v2AuEJD1VvXjn5c8z38zs5K6pNDkI5xWYgvY6XUqE4VAqsy3o83rx5YYS&#10;H5gpmQYjCnoUnt5NP3+a1DYXfdiBLoUjCGJ8XtuC7kKweZZ5vhMV8x2wwqBTgqtYQNVts9KxGtEr&#10;nfW73XFWgyutAy68R+t966TThC+l4OFRSi8C0QXF3EI6XTo38cymE5ZvHbM7xU9psH/IomLK4KMX&#10;qHsWGNk79QGqUtyBBxk6HKoMpFRcpBqwml73XTWrHbMi1YLkeHuhyf8/WP5weHJElQUdUGJYhS1a&#10;iyaQb9CQQWSntj7HoJXFsNCgGbt8tns0xqIb6ar4xXII+pHn44XbCMbjpWF3POqPKOHou70Z9keJ&#10;/Oz1tnU+fBdQkSgU1GHvEqXssPQBM8HQc0h8zINW5UJpnZQ4L2KuHTkw7LQOKUe88SZKG1IXdDzA&#10;pz8gROjL/Y1m/Ges8i0CatqgMXLS1h6l0GyaxOCFlw2UR6TLQTtu3vKFQvgl8+GJOZwvZAh3Jjzi&#10;ITVgTnCSKNmB+/03e4zHtqOXkhrntaD+1545QYn+YXAgbnvDYRzwpAxHX/uouGvP5tpj9tUckKge&#10;bqflSYzxQZ9F6aB6wdWaxVfRxQzHtwsazuI8tFuEq8nFbJaCcKQtC0uzsjxCR44jrevmhTl7amvA&#10;gXiA82Sz/F1329h408BsH0Cq1PrIc8vqiX5ch9Sd0+rGfbvWU9TrD2b6BwAA//8DAFBLAwQUAAYA&#10;CAAAACEAsa/5c9kAAAAGAQAADwAAAGRycy9kb3ducmV2LnhtbEyOwU7DMBBE70j8g7VI3KjTgKok&#10;xKkAFS6cKIizG2/tiHgd2W4a/p7lBLcdzdPsa7eLH8WMMQ2BFKxXBQikPpiBrIKP9+ebCkTKmowe&#10;A6GCb0yw7S4vWt2YcKY3nPfZCh6h1GgFLuepkTL1Dr1OqzAhcXcM0evMMVppoj7zuB9lWRQb6fVA&#10;/MHpCZ8c9l/7k1ewe7S17Ssd3a4ywzAvn8dX+6LU9dXycA8i45L/YPjVZ3Xo2OkQTmSSGBXcMaeg&#10;qkFwWZZrPg5MbW5rkF0r/+t3PwAAAP//AwBQSwECLQAUAAYACAAAACEAtoM4kv4AAADhAQAAEwAA&#10;AAAAAAAAAAAAAAAAAAAAW0NvbnRlbnRfVHlwZXNdLnhtbFBLAQItABQABgAIAAAAIQA4/SH/1gAA&#10;AJQBAAALAAAAAAAAAAAAAAAAAC8BAABfcmVscy8ucmVsc1BLAQItABQABgAIAAAAIQA2fHkZSwIA&#10;AKgEAAAOAAAAAAAAAAAAAAAAAC4CAABkcnMvZTJvRG9jLnhtbFBLAQItABQABgAIAAAAIQCxr/lz&#10;2QAAAAYBAAAPAAAAAAAAAAAAAAAAAKUEAABkcnMvZG93bnJldi54bWxQSwUGAAAAAAQABADzAAAA&#10;qwUAAAAA&#10;" fillcolor="white [3201]" strokeweight=".5pt">
                <v:textbox>
                  <w:txbxContent>
                    <w:p w:rsidR="00E66671" w:rsidRDefault="00E66671">
                      <w:r>
                        <w:rPr>
                          <w:noProof/>
                        </w:rPr>
                        <w:drawing>
                          <wp:inline distT="0" distB="0" distL="0" distR="0">
                            <wp:extent cx="1167700" cy="8440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oy office.jpg"/>
                                    <pic:cNvPicPr/>
                                  </pic:nvPicPr>
                                  <pic:blipFill>
                                    <a:blip r:embed="rId12">
                                      <a:extLst>
                                        <a:ext uri="{28A0092B-C50C-407E-A947-70E740481C1C}">
                                          <a14:useLocalDpi xmlns:a14="http://schemas.microsoft.com/office/drawing/2010/main" val="0"/>
                                        </a:ext>
                                      </a:extLst>
                                    </a:blip>
                                    <a:stretch>
                                      <a:fillRect/>
                                    </a:stretch>
                                  </pic:blipFill>
                                  <pic:spPr>
                                    <a:xfrm>
                                      <a:off x="0" y="0"/>
                                      <a:ext cx="1181797" cy="854251"/>
                                    </a:xfrm>
                                    <a:prstGeom prst="rect">
                                      <a:avLst/>
                                    </a:prstGeom>
                                  </pic:spPr>
                                </pic:pic>
                              </a:graphicData>
                            </a:graphic>
                          </wp:inline>
                        </w:drawing>
                      </w:r>
                    </w:p>
                  </w:txbxContent>
                </v:textbox>
                <w10:wrap type="square"/>
              </v:shape>
            </w:pict>
          </mc:Fallback>
        </mc:AlternateContent>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E66671" w:rsidRPr="00E66671" w:rsidRDefault="00E66671" w:rsidP="00E66671">
      <w:pPr>
        <w:widowControl/>
        <w:rPr>
          <w:rFonts w:asciiTheme="minorHAnsi" w:hAnsiTheme="minorHAnsi"/>
          <w:sz w:val="18"/>
          <w:szCs w:val="18"/>
        </w:rPr>
      </w:pPr>
      <w:r w:rsidRPr="00E66671">
        <w:rPr>
          <w:rFonts w:asciiTheme="minorHAnsi" w:hAnsiTheme="minorHAnsi"/>
          <w:sz w:val="18"/>
          <w:szCs w:val="18"/>
        </w:rPr>
        <w:t xml:space="preserve">As the Vice President of Compliance Insight, Inc., Troy works with companies domestically and worldwide in the pharmaceutical, biotechnology and medical device industries in the fields of Compliance and Quality Assurance.  Troy’s primary strengths are Quality Assurance activities with emphasis in quality systems, risk assessment, facilities and utilities, cleaning, processes, validation and systemic audits.  Professional training presentations have been conducted across the </w:t>
      </w:r>
      <w:r>
        <w:rPr>
          <w:rFonts w:asciiTheme="minorHAnsi" w:hAnsiTheme="minorHAnsi"/>
          <w:sz w:val="18"/>
          <w:szCs w:val="18"/>
        </w:rPr>
        <w:t>world</w:t>
      </w:r>
      <w:r w:rsidRPr="00E66671">
        <w:rPr>
          <w:rFonts w:asciiTheme="minorHAnsi" w:hAnsiTheme="minorHAnsi"/>
          <w:sz w:val="18"/>
          <w:szCs w:val="18"/>
        </w:rPr>
        <w:t xml:space="preserve">.  Troy has </w:t>
      </w:r>
      <w:r>
        <w:rPr>
          <w:rFonts w:asciiTheme="minorHAnsi" w:hAnsiTheme="minorHAnsi"/>
          <w:sz w:val="18"/>
          <w:szCs w:val="18"/>
        </w:rPr>
        <w:t>approximately 30</w:t>
      </w:r>
      <w:r w:rsidRPr="00E66671">
        <w:rPr>
          <w:rFonts w:asciiTheme="minorHAnsi" w:hAnsiTheme="minorHAnsi"/>
          <w:sz w:val="18"/>
          <w:szCs w:val="18"/>
        </w:rPr>
        <w:t xml:space="preserve"> years’ experience and is a highly rated trainer bringing in his practical, hands-on experience to the </w:t>
      </w:r>
      <w:r>
        <w:rPr>
          <w:rFonts w:asciiTheme="minorHAnsi" w:hAnsiTheme="minorHAnsi"/>
          <w:sz w:val="18"/>
          <w:szCs w:val="18"/>
        </w:rPr>
        <w:t>attendees</w:t>
      </w:r>
      <w:r w:rsidRPr="00E66671">
        <w:rPr>
          <w:rFonts w:asciiTheme="minorHAnsi" w:hAnsiTheme="minorHAnsi"/>
          <w:sz w:val="18"/>
          <w:szCs w:val="18"/>
        </w:rPr>
        <w:t>.</w:t>
      </w:r>
    </w:p>
    <w:p w:rsidR="00AE3E37" w:rsidRDefault="00724C6E" w:rsidP="00724C6E">
      <w:pPr>
        <w:tabs>
          <w:tab w:val="left" w:pos="6660"/>
        </w:tabs>
        <w:spacing w:before="62"/>
        <w:ind w:left="4217" w:right="1960"/>
        <w:rPr>
          <w:rFonts w:ascii="Arial"/>
          <w:sz w:val="14"/>
        </w:rPr>
      </w:pPr>
      <w:r w:rsidRPr="00E66671">
        <w:rPr>
          <w:rFonts w:asciiTheme="minorHAnsi" w:hAnsiTheme="minorHAnsi" w:cs="Arial"/>
          <w:sz w:val="18"/>
          <w:szCs w:val="18"/>
        </w:rPr>
        <w:t>Full Name</w:t>
      </w:r>
      <w:r w:rsidR="00E66671">
        <w:rPr>
          <w:rFonts w:asciiTheme="minorHAnsi" w:hAnsiTheme="minorHAnsi" w:cs="Arial"/>
          <w:sz w:val="18"/>
          <w:szCs w:val="18"/>
        </w:rPr>
        <w:t>:  Troy Fugate</w:t>
      </w:r>
      <w:r w:rsidRPr="00E66671">
        <w:rPr>
          <w:rStyle w:val="Hyperlink"/>
          <w:rFonts w:asciiTheme="minorHAnsi" w:hAnsiTheme="minorHAnsi" w:cs="Arial"/>
          <w:sz w:val="18"/>
          <w:szCs w:val="18"/>
        </w:rPr>
        <w:br/>
      </w:r>
      <w:r w:rsidRPr="00724C6E">
        <w:rPr>
          <w:rFonts w:ascii="Arial" w:hAnsi="Arial" w:cs="Arial"/>
          <w:sz w:val="14"/>
        </w:rPr>
        <w:t>Tel:</w:t>
      </w:r>
      <w:r w:rsidR="00E66671">
        <w:rPr>
          <w:rFonts w:ascii="Arial" w:hAnsi="Arial" w:cs="Arial"/>
          <w:sz w:val="14"/>
        </w:rPr>
        <w:t xml:space="preserve"> 513-860-3512</w:t>
      </w:r>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sidR="00E66671">
        <w:rPr>
          <w:rFonts w:ascii="Arial"/>
          <w:sz w:val="14"/>
        </w:rPr>
        <w:t>: (Oral presentation</w:t>
      </w:r>
      <w:r w:rsidRPr="00724C6E">
        <w:rPr>
          <w:rFonts w:ascii="Arial"/>
          <w:sz w:val="14"/>
        </w:rPr>
        <w:t>)</w:t>
      </w:r>
      <w:r>
        <w:rPr>
          <w:rFonts w:ascii="Arial"/>
          <w:sz w:val="14"/>
        </w:rPr>
        <w:br/>
        <w:t xml:space="preserve">Email: </w:t>
      </w:r>
      <w:hyperlink r:id="rId13" w:history="1">
        <w:r w:rsidR="00E66671" w:rsidRPr="00294708">
          <w:rPr>
            <w:rStyle w:val="Hyperlink"/>
            <w:rFonts w:ascii="Arial"/>
            <w:sz w:val="14"/>
          </w:rPr>
          <w:t>TFugate@Compliance-Insight.com</w:t>
        </w:r>
      </w:hyperlink>
      <w:r w:rsidR="00E66671">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703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508" w:rsidRDefault="003F3508">
      <w:r>
        <w:separator/>
      </w:r>
    </w:p>
  </w:endnote>
  <w:endnote w:type="continuationSeparator" w:id="0">
    <w:p w:rsidR="003F3508" w:rsidRDefault="003F3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508" w:rsidRDefault="003F3508">
      <w:r>
        <w:separator/>
      </w:r>
    </w:p>
  </w:footnote>
  <w:footnote w:type="continuationSeparator" w:id="0">
    <w:p w:rsidR="003F3508" w:rsidRDefault="003F3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4953000</wp:posOffset>
              </wp:positionH>
              <wp:positionV relativeFrom="page">
                <wp:posOffset>381000</wp:posOffset>
              </wp:positionV>
              <wp:extent cx="2165985" cy="323850"/>
              <wp:effectExtent l="0" t="0" r="5715"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Default="00C348BA">
                          <w:pPr>
                            <w:spacing w:before="2" w:line="249" w:lineRule="auto"/>
                            <w:ind w:left="156" w:right="18" w:hanging="137"/>
                            <w:rPr>
                              <w:rFonts w:ascii="Arial"/>
                              <w:sz w:val="14"/>
                            </w:rPr>
                          </w:pPr>
                          <w:r>
                            <w:rPr>
                              <w:rFonts w:ascii="Arial"/>
                              <w:sz w:val="14"/>
                            </w:rPr>
                            <w:t>T Fugate</w:t>
                          </w:r>
                        </w:p>
                        <w:p w:rsidR="00C348BA" w:rsidRDefault="00C348BA">
                          <w:pPr>
                            <w:spacing w:before="2" w:line="249" w:lineRule="auto"/>
                            <w:ind w:left="156" w:right="18" w:hanging="137"/>
                            <w:rPr>
                              <w:rFonts w:ascii="Arial"/>
                              <w:sz w:val="14"/>
                            </w:rPr>
                          </w:pPr>
                          <w:r>
                            <w:rPr>
                              <w:rFonts w:ascii="Arial"/>
                              <w:sz w:val="14"/>
                            </w:rPr>
                            <w:t>Good Supply Practices for Systemic Value</w:t>
                          </w:r>
                        </w:p>
                        <w:p w:rsidR="00C348BA" w:rsidRPr="00C348BA" w:rsidRDefault="00C348BA">
                          <w:pPr>
                            <w:spacing w:before="2" w:line="249" w:lineRule="auto"/>
                            <w:ind w:left="156" w:right="18" w:hanging="137"/>
                            <w:rPr>
                              <w:rFonts w:ascii="Arial"/>
                              <w:sz w:val="14"/>
                            </w:rPr>
                          </w:pPr>
                          <w:r>
                            <w:rPr>
                              <w:rFonts w:ascii="Arial"/>
                              <w:sz w:val="14"/>
                            </w:rPr>
                            <w:t>June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390pt;margin-top:30pt;width:170.55pt;height:25.5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bsAIAAKo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Qq&#10;6J2PEScd9OiRjhrdiRFFpjxDr1LweujBT4+wDa42VdXfi/K7QlysGsK39FZKMTSUVEDPNzfdF1cn&#10;HGVANsMnUUEYstPCAo217EztoBoI0KFNT8fWGColbAb+IkriCKMSzi6DyziyvXNJOt/updIfqOiQ&#10;MTIsofUWnezvlTZsSDq7mGBcFKxtbftbfrYBjtMOxIar5sywsN18TrxkHa/j0AmDxdoJvTx3botV&#10;6CwK/yrKL/PVKvd/mbh+mDasqig3YWZl+eGfde6g8UkTR20p0bLKwBlKSm43q1aiPQFlF/azNYeT&#10;k5t7TsMWAXJ5lZIfhN5dkDjFIr5ywiKMnOTKix3PT+6ShRcmYV6cp3TPOP33lNCQ4SQKoklMJ9Kv&#10;cvPs9zY3knZMw+xoWZfh+OhEUiPBNa9sazVh7WS/KIWhfyoFtHtutBWs0eikVj1uRkAxKt6I6gmk&#10;KwUoC/QJAw+MRsifGA0wPDKsfuyIpBi1HznI30ya2ZCzsZkNwku4mmGN0WSu9DSRdr1k2waQpwfG&#10;xS08kZpZ9Z5YHB4WDASbxGF4mYnz8t96nUbs8jcAAAD//wMAUEsDBBQABgAIAAAAIQCDD7+O3gAA&#10;AAsBAAAPAAAAZHJzL2Rvd25yZXYueG1sTI8xT8MwEIV3JP6DdUhs1HaHUEKcqkIwISHSdGB04mti&#10;NT6H2G3Dv8eZYLo7vad33yu2sxvYBadgPSmQKwEMqfXGUqfgUL89bICFqMnowRMq+MEA2/L2ptC5&#10;8Veq8LKPHUshFHKtoI9xzDkPbY9Oh5UfkZJ29JPTMZ1Tx82kryncDXwtRMadtpQ+9HrElx7b0/7s&#10;FOy+qHq13x/NZ3WsbF0/CXrPTkrd3827Z2AR5/hnhgU/oUOZmBp/JhPYoOBxI1KXqCBb5mKQaymB&#10;NcsmBfCy4P87lL8AAAD//wMAUEsBAi0AFAAGAAgAAAAhALaDOJL+AAAA4QEAABMAAAAAAAAAAAAA&#10;AAAAAAAAAFtDb250ZW50X1R5cGVzXS54bWxQSwECLQAUAAYACAAAACEAOP0h/9YAAACUAQAACwAA&#10;AAAAAAAAAAAAAAAvAQAAX3JlbHMvLnJlbHNQSwECLQAUAAYACAAAACEAPsJ7m7ACAACqBQAADgAA&#10;AAAAAAAAAAAAAAAuAgAAZHJzL2Uyb0RvYy54bWxQSwECLQAUAAYACAAAACEAgw+/jt4AAAALAQAA&#10;DwAAAAAAAAAAAAAAAAAKBQAAZHJzL2Rvd25yZXYueG1sUEsFBgAAAAAEAAQA8wAAABUGAAAAAA==&#10;" filled="f" stroked="f">
              <v:textbox inset="0,0,0,0">
                <w:txbxContent>
                  <w:p w:rsidR="00AE3E37" w:rsidRDefault="00C348BA">
                    <w:pPr>
                      <w:spacing w:before="2" w:line="249" w:lineRule="auto"/>
                      <w:ind w:left="156" w:right="18" w:hanging="137"/>
                      <w:rPr>
                        <w:rFonts w:ascii="Arial"/>
                        <w:sz w:val="14"/>
                      </w:rPr>
                    </w:pPr>
                    <w:r>
                      <w:rPr>
                        <w:rFonts w:ascii="Arial"/>
                        <w:sz w:val="14"/>
                      </w:rPr>
                      <w:t>T Fugate</w:t>
                    </w:r>
                  </w:p>
                  <w:p w:rsidR="00C348BA" w:rsidRDefault="00C348BA">
                    <w:pPr>
                      <w:spacing w:before="2" w:line="249" w:lineRule="auto"/>
                      <w:ind w:left="156" w:right="18" w:hanging="137"/>
                      <w:rPr>
                        <w:rFonts w:ascii="Arial"/>
                        <w:sz w:val="14"/>
                      </w:rPr>
                    </w:pPr>
                    <w:r>
                      <w:rPr>
                        <w:rFonts w:ascii="Arial"/>
                        <w:sz w:val="14"/>
                      </w:rPr>
                      <w:t>Good Supply Practices for Systemic Value</w:t>
                    </w:r>
                  </w:p>
                  <w:p w:rsidR="00C348BA" w:rsidRPr="00C348BA" w:rsidRDefault="00C348BA">
                    <w:pPr>
                      <w:spacing w:before="2" w:line="249" w:lineRule="auto"/>
                      <w:ind w:left="156" w:right="18" w:hanging="137"/>
                      <w:rPr>
                        <w:rFonts w:ascii="Arial"/>
                        <w:sz w:val="14"/>
                      </w:rPr>
                    </w:pPr>
                    <w:r>
                      <w:rPr>
                        <w:rFonts w:ascii="Arial"/>
                        <w:sz w:val="14"/>
                      </w:rPr>
                      <w:t>June 2017</w:t>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972C0C"/>
    <w:multiLevelType w:val="hybridMultilevel"/>
    <w:tmpl w:val="FF2CE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7359"/>
    <w:rsid w:val="000E2911"/>
    <w:rsid w:val="001263DF"/>
    <w:rsid w:val="00292ED9"/>
    <w:rsid w:val="003F3508"/>
    <w:rsid w:val="00404E5B"/>
    <w:rsid w:val="00414F7B"/>
    <w:rsid w:val="004355DC"/>
    <w:rsid w:val="004749B4"/>
    <w:rsid w:val="00494130"/>
    <w:rsid w:val="004F3523"/>
    <w:rsid w:val="005973B9"/>
    <w:rsid w:val="005B3A56"/>
    <w:rsid w:val="006060CE"/>
    <w:rsid w:val="0063497F"/>
    <w:rsid w:val="00724C6E"/>
    <w:rsid w:val="008239CE"/>
    <w:rsid w:val="00873DF0"/>
    <w:rsid w:val="008756E6"/>
    <w:rsid w:val="00890F18"/>
    <w:rsid w:val="009B2D44"/>
    <w:rsid w:val="00A07E82"/>
    <w:rsid w:val="00A956E5"/>
    <w:rsid w:val="00A9710C"/>
    <w:rsid w:val="00AE3E37"/>
    <w:rsid w:val="00B21A57"/>
    <w:rsid w:val="00C235DE"/>
    <w:rsid w:val="00C33602"/>
    <w:rsid w:val="00C348BA"/>
    <w:rsid w:val="00CD6F55"/>
    <w:rsid w:val="00D307F1"/>
    <w:rsid w:val="00DE3104"/>
    <w:rsid w:val="00E6667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9D0AD"/>
  <w15:docId w15:val="{9EC6C170-F29F-4F51-AF52-7CA4F456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A7359"/>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0A73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631756">
      <w:bodyDiv w:val="1"/>
      <w:marLeft w:val="0"/>
      <w:marRight w:val="0"/>
      <w:marTop w:val="0"/>
      <w:marBottom w:val="0"/>
      <w:divBdr>
        <w:top w:val="none" w:sz="0" w:space="0" w:color="auto"/>
        <w:left w:val="none" w:sz="0" w:space="0" w:color="auto"/>
        <w:bottom w:val="none" w:sz="0" w:space="0" w:color="auto"/>
        <w:right w:val="none" w:sz="0" w:space="0" w:color="auto"/>
      </w:divBdr>
      <w:divsChild>
        <w:div w:id="508759652">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180356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1056958">
      <w:bodyDiv w:val="1"/>
      <w:marLeft w:val="0"/>
      <w:marRight w:val="0"/>
      <w:marTop w:val="0"/>
      <w:marBottom w:val="0"/>
      <w:divBdr>
        <w:top w:val="none" w:sz="0" w:space="0" w:color="auto"/>
        <w:left w:val="none" w:sz="0" w:space="0" w:color="auto"/>
        <w:bottom w:val="none" w:sz="0" w:space="0" w:color="auto"/>
        <w:right w:val="none" w:sz="0" w:space="0" w:color="auto"/>
      </w:divBdr>
      <w:divsChild>
        <w:div w:id="280705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TFugate@Compliance-Insight.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PowerPoint_Slide1.sld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package" Target="embeddings/Microsoft_PowerPoint_Slide.sldx"/><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Troy Fugate</cp:lastModifiedBy>
  <cp:revision>2</cp:revision>
  <dcterms:created xsi:type="dcterms:W3CDTF">2017-06-26T16:47:00Z</dcterms:created>
  <dcterms:modified xsi:type="dcterms:W3CDTF">2017-06-26T16:47:00Z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