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bidi w:val="0"/>
        <w:adjustRightInd/>
        <w:snapToGrid/>
        <w:spacing w:beforeAutospacing="0" w:afterAutospacing="0" w:line="360" w:lineRule="auto"/>
        <w:jc w:val="both"/>
        <w:textAlignment w:val="auto"/>
        <w:rPr>
          <w:rFonts w:hint="default" w:ascii="Arial" w:hAnsi="Arial" w:cs="Arial"/>
          <w:b/>
          <w:bCs/>
          <w:sz w:val="20"/>
          <w:szCs w:val="20"/>
          <w:lang w:val="en-US"/>
        </w:rPr>
      </w:pPr>
      <w:r>
        <w:rPr>
          <w:rFonts w:hint="default" w:ascii="Arial" w:hAnsi="Arial" w:cs="Arial"/>
          <w:b/>
          <w:bCs/>
          <w:sz w:val="20"/>
          <w:szCs w:val="20"/>
          <w:lang w:val="en-US"/>
        </w:rPr>
        <w:t>Development of a conceptual framework by understanding the hazard profile and disaster preparedness levels of accredited of north India: A cross-sectional study</w:t>
      </w:r>
    </w:p>
    <w:p>
      <w:pPr>
        <w:keepNext w:val="0"/>
        <w:keepLines w:val="0"/>
        <w:pageBreakBefore w:val="0"/>
        <w:widowControl/>
        <w:kinsoku/>
        <w:wordWrap/>
        <w:overflowPunct/>
        <w:topLinePunct w:val="0"/>
        <w:autoSpaceDE/>
        <w:autoSpaceDN w:val="0"/>
        <w:bidi w:val="0"/>
        <w:adjustRightInd/>
        <w:snapToGrid/>
        <w:spacing w:beforeAutospacing="0" w:afterAutospacing="0" w:line="240" w:lineRule="auto"/>
        <w:textAlignment w:val="auto"/>
        <w:rPr>
          <w:rFonts w:hint="default" w:ascii="Arial" w:hAnsi="Arial" w:cs="Arial"/>
          <w:b w:val="0"/>
          <w:bCs w:val="0"/>
          <w:sz w:val="20"/>
          <w:szCs w:val="20"/>
          <w:lang w:val="en-US"/>
        </w:rPr>
      </w:pPr>
      <w:r>
        <w:rPr>
          <w:rFonts w:hint="default" w:ascii="Arial" w:hAnsi="Arial" w:cs="Arial"/>
          <w:b w:val="0"/>
          <w:bCs w:val="0"/>
          <w:sz w:val="20"/>
          <w:szCs w:val="20"/>
          <w:lang w:val="en-US"/>
        </w:rPr>
        <w:t>Nidhi Yadav, MHA, PhD (pursuing), Indian Spinal Injuries Centre, Delhi, India</w:t>
      </w:r>
    </w:p>
    <w:p>
      <w:pPr>
        <w:keepNext w:val="0"/>
        <w:keepLines w:val="0"/>
        <w:pageBreakBefore w:val="0"/>
        <w:widowControl/>
        <w:kinsoku/>
        <w:wordWrap/>
        <w:overflowPunct/>
        <w:topLinePunct w:val="0"/>
        <w:autoSpaceDE/>
        <w:autoSpaceDN w:val="0"/>
        <w:bidi w:val="0"/>
        <w:adjustRightInd/>
        <w:snapToGrid/>
        <w:spacing w:beforeAutospacing="0" w:afterAutospacing="0" w:line="240" w:lineRule="auto"/>
        <w:textAlignment w:val="auto"/>
        <w:rPr>
          <w:rFonts w:hint="default" w:ascii="Arial" w:hAnsi="Arial" w:cs="Arial"/>
          <w:b w:val="0"/>
          <w:bCs w:val="0"/>
          <w:sz w:val="20"/>
          <w:szCs w:val="20"/>
          <w:lang w:val="en-US"/>
        </w:rPr>
      </w:pPr>
      <w:r>
        <w:rPr>
          <w:rFonts w:hint="default" w:ascii="Arial" w:hAnsi="Arial" w:eastAsia="SimSun" w:cs="Arial"/>
          <w:sz w:val="20"/>
          <w:szCs w:val="20"/>
          <w:lang w:val="en-US"/>
        </w:rPr>
        <w:t xml:space="preserve">Dr. Gayatri, PhD Biostatistics, </w:t>
      </w:r>
      <w:r>
        <w:rPr>
          <w:rFonts w:hint="default" w:ascii="Arial" w:hAnsi="Arial" w:cs="Arial"/>
          <w:b w:val="0"/>
          <w:bCs w:val="0"/>
          <w:sz w:val="20"/>
          <w:szCs w:val="20"/>
          <w:lang w:val="en-US"/>
        </w:rPr>
        <w:t>Indian Spinal Injuries Centre, Delhi, India</w:t>
      </w:r>
    </w:p>
    <w:p>
      <w:pPr>
        <w:keepNext w:val="0"/>
        <w:keepLines w:val="0"/>
        <w:pageBreakBefore w:val="0"/>
        <w:widowControl/>
        <w:kinsoku/>
        <w:wordWrap/>
        <w:overflowPunct/>
        <w:topLinePunct w:val="0"/>
        <w:autoSpaceDE/>
        <w:autoSpaceDN w:val="0"/>
        <w:bidi w:val="0"/>
        <w:adjustRightInd/>
        <w:snapToGrid/>
        <w:spacing w:beforeAutospacing="0" w:afterAutospacing="0" w:line="240" w:lineRule="auto"/>
        <w:textAlignment w:val="auto"/>
        <w:rPr>
          <w:rFonts w:hint="default" w:ascii="Arial" w:hAnsi="Arial" w:cs="Arial"/>
          <w:b w:val="0"/>
          <w:bCs w:val="0"/>
          <w:sz w:val="20"/>
          <w:szCs w:val="20"/>
          <w:lang w:val="en-US"/>
        </w:rPr>
      </w:pPr>
      <w:r>
        <w:rPr>
          <w:rFonts w:hint="default" w:ascii="Arial" w:hAnsi="Arial" w:eastAsia="SimSun" w:cs="Arial"/>
          <w:sz w:val="20"/>
          <w:szCs w:val="20"/>
          <w:lang w:val="en-US"/>
        </w:rPr>
        <w:t xml:space="preserve">Priyanka Anchalia, MHA, </w:t>
      </w:r>
      <w:r>
        <w:rPr>
          <w:rFonts w:hint="default" w:ascii="Arial" w:hAnsi="Arial" w:cs="Arial"/>
          <w:b w:val="0"/>
          <w:bCs w:val="0"/>
          <w:sz w:val="20"/>
          <w:szCs w:val="20"/>
          <w:lang w:val="en-US"/>
        </w:rPr>
        <w:t>Indian Spinal Injuries Centre, Delhi, India</w:t>
      </w:r>
    </w:p>
    <w:p>
      <w:pPr>
        <w:keepNext w:val="0"/>
        <w:keepLines w:val="0"/>
        <w:pageBreakBefore w:val="0"/>
        <w:widowControl/>
        <w:kinsoku/>
        <w:wordWrap/>
        <w:overflowPunct/>
        <w:topLinePunct w:val="0"/>
        <w:autoSpaceDE/>
        <w:bidi w:val="0"/>
        <w:adjustRightInd/>
        <w:snapToGrid/>
        <w:spacing w:beforeAutospacing="0" w:afterAutospacing="0" w:line="30" w:lineRule="atLeast"/>
        <w:textAlignment w:val="auto"/>
        <w:rPr>
          <w:rFonts w:hint="default" w:ascii="Arial" w:hAnsi="Arial" w:eastAsia="SimSun" w:cs="Arial"/>
          <w:sz w:val="20"/>
          <w:szCs w:val="20"/>
          <w:lang w:val="en-US"/>
        </w:rPr>
      </w:pPr>
    </w:p>
    <w:p>
      <w:pPr>
        <w:spacing w:line="360" w:lineRule="auto"/>
        <w:jc w:val="both"/>
        <w:rPr>
          <w:rFonts w:hint="default" w:ascii="Arial" w:hAnsi="Arial" w:eastAsia="SimSun" w:cs="Arial"/>
          <w:b/>
          <w:bCs/>
          <w:sz w:val="20"/>
          <w:szCs w:val="20"/>
          <w:lang w:val="en-US"/>
        </w:rPr>
      </w:pPr>
      <w:r>
        <w:rPr>
          <w:rFonts w:hint="default" w:ascii="Arial" w:hAnsi="Arial" w:eastAsia="SimSun" w:cs="Arial"/>
          <w:b/>
          <w:bCs/>
          <w:sz w:val="20"/>
          <w:szCs w:val="20"/>
          <w:lang w:val="en-US"/>
        </w:rPr>
        <w:t>Abstract</w:t>
      </w:r>
    </w:p>
    <w:p>
      <w:pPr>
        <w:spacing w:line="360" w:lineRule="auto"/>
        <w:jc w:val="both"/>
        <w:rPr>
          <w:rFonts w:hint="default" w:ascii="Arial" w:hAnsi="Arial" w:eastAsia="SimSun" w:cs="Arial"/>
          <w:sz w:val="20"/>
          <w:szCs w:val="20"/>
          <w:lang w:val="en-US"/>
        </w:rPr>
      </w:pPr>
      <w:r>
        <w:rPr>
          <w:rFonts w:hint="default" w:ascii="Arial" w:hAnsi="Arial" w:eastAsia="SimSun" w:cs="Arial"/>
          <w:sz w:val="20"/>
          <w:szCs w:val="20"/>
          <w:lang w:val="en-US"/>
        </w:rPr>
        <w:t xml:space="preserve">A cross-sectional, ex-post facto research was conducted on the accredited hospitals on North India to understand the level of disaster preparedness and response in the accredited hospital in India. These hospitals were studied for their preparedness and response.The target population was accredited hospitals of North India with more than hundred beds and multi speciality in nature. Purposive sampling technique was used and nine hospitals were selected from six states of North India. These hospitals share common type of disaster profile. A validated questionnaire was used to collect data on demographic and disaster profile including procedural, structural and non structural preparedness with individual responses. The Knowledge, Attitude and Practice (KAP) of the hospital staff was also studied to understand the factors that influence outcome in disaster management. Chi square test reveled that there is significant difference in knowledge level w.r.t gender (p&lt;0.001) and basic qualification (p&lt;0.001). Preparedness score and response level were found negatively correlated with the hazard scores of the hospitals (p&lt;0.01). Poisson mixed effect model was used to understand the relation between hazard profile and preparedness of the target hospitals. Significant difference in preparedness and response was found in hospitals which were old (commissioned before 1970) in comparison to the new hospitals. </w:t>
      </w:r>
    </w:p>
    <w:p>
      <w:pPr>
        <w:spacing w:line="480" w:lineRule="auto"/>
        <w:jc w:val="both"/>
        <w:rPr>
          <w:rFonts w:hint="default" w:ascii="Arial" w:hAnsi="Arial" w:eastAsia="SimSun" w:cs="Arial"/>
          <w:b/>
          <w:bCs/>
          <w:sz w:val="20"/>
          <w:szCs w:val="20"/>
          <w:lang w:val="en-US"/>
        </w:rPr>
      </w:pPr>
    </w:p>
    <w:p>
      <w:pPr>
        <w:spacing w:line="480" w:lineRule="auto"/>
        <w:jc w:val="both"/>
        <w:rPr>
          <w:rFonts w:hint="default" w:ascii="Arial" w:hAnsi="Arial" w:eastAsia="SimSun" w:cs="Arial"/>
          <w:b/>
          <w:bCs/>
          <w:sz w:val="20"/>
          <w:szCs w:val="20"/>
          <w:lang w:val="en-US"/>
        </w:rPr>
      </w:pPr>
      <w:r>
        <w:rPr>
          <w:rFonts w:hint="default" w:ascii="Arial" w:hAnsi="Arial" w:eastAsia="SimSun" w:cs="Arial"/>
          <w:b/>
          <w:bCs/>
          <w:sz w:val="20"/>
          <w:szCs w:val="20"/>
          <w:lang w:val="en-US"/>
        </w:rPr>
        <w:t>Recent publications</w:t>
      </w:r>
    </w:p>
    <w:p>
      <w:pPr>
        <w:keepLines w:val="0"/>
        <w:numPr>
          <w:ilvl w:val="0"/>
          <w:numId w:val="1"/>
        </w:numPr>
        <w:tabs>
          <w:tab w:val="left" w:pos="426"/>
        </w:tabs>
        <w:spacing w:line="360" w:lineRule="auto"/>
        <w:jc w:val="both"/>
        <w:rPr>
          <w:rFonts w:hint="default" w:ascii="Arial" w:hAnsi="Arial" w:cs="Arial"/>
          <w:b/>
          <w:bCs/>
          <w:sz w:val="20"/>
          <w:szCs w:val="20"/>
          <w:lang w:val="en-US"/>
        </w:rPr>
      </w:pPr>
      <w:r>
        <w:rPr>
          <w:rFonts w:hint="default" w:ascii="Arial" w:hAnsi="Arial" w:cs="Arial"/>
          <w:sz w:val="20"/>
          <w:szCs w:val="20"/>
          <w:lang w:val="en-US"/>
        </w:rPr>
        <w:t>Principle author of “</w:t>
      </w:r>
      <w:r>
        <w:rPr>
          <w:rFonts w:hint="default" w:ascii="Arial" w:hAnsi="Arial" w:cs="Arial"/>
          <w:b w:val="0"/>
          <w:bCs w:val="0"/>
          <w:sz w:val="20"/>
          <w:szCs w:val="20"/>
          <w:lang w:val="en-US"/>
        </w:rPr>
        <w:t xml:space="preserve">A cross sectional study of NABH effectiveness among health care worker catering to spinal cord injured patients in a tertiary care centre in India.” published in </w:t>
      </w:r>
      <w:r>
        <w:rPr>
          <w:rStyle w:val="3"/>
          <w:rFonts w:hint="default" w:ascii="Arial" w:hAnsi="Arial" w:cs="Arial"/>
          <w:b w:val="0"/>
          <w:bCs w:val="0"/>
          <w:sz w:val="20"/>
          <w:szCs w:val="20"/>
          <w:lang w:val="en-US"/>
        </w:rPr>
        <w:t>International Journal of Current Research. ISSN NO.: 2319-6475, Volume 10, Issue 12, December 2018</w:t>
      </w:r>
    </w:p>
    <w:p>
      <w:pPr>
        <w:keepLines w:val="0"/>
        <w:numPr>
          <w:ilvl w:val="0"/>
          <w:numId w:val="1"/>
        </w:numPr>
        <w:tabs>
          <w:tab w:val="left" w:pos="426"/>
        </w:tabs>
        <w:spacing w:line="360" w:lineRule="auto"/>
        <w:jc w:val="both"/>
        <w:rPr>
          <w:rFonts w:hint="default" w:ascii="Arial" w:hAnsi="Arial" w:cs="Arial"/>
          <w:b/>
          <w:bCs/>
          <w:sz w:val="20"/>
          <w:szCs w:val="20"/>
          <w:lang w:val="en-US"/>
        </w:rPr>
      </w:pPr>
      <w:r>
        <w:rPr>
          <w:rFonts w:hint="default" w:ascii="Arial" w:hAnsi="Arial" w:cs="Arial"/>
          <w:sz w:val="20"/>
          <w:szCs w:val="20"/>
          <w:lang w:val="en-US"/>
        </w:rPr>
        <w:t>Co- Author in original research article in</w:t>
      </w:r>
      <w:r>
        <w:rPr>
          <w:rFonts w:hint="default" w:ascii="Arial" w:hAnsi="Arial" w:cs="Arial"/>
          <w:b w:val="0"/>
          <w:bCs w:val="0"/>
          <w:sz w:val="20"/>
          <w:szCs w:val="20"/>
          <w:lang w:val="en-US"/>
        </w:rPr>
        <w:t xml:space="preserve"> I</w:t>
      </w:r>
      <w:r>
        <w:rPr>
          <w:rStyle w:val="3"/>
          <w:rFonts w:hint="default" w:ascii="Arial" w:hAnsi="Arial" w:eastAsia="SimSun" w:cs="Arial"/>
          <w:b w:val="0"/>
          <w:bCs w:val="0"/>
          <w:sz w:val="20"/>
          <w:szCs w:val="20"/>
        </w:rPr>
        <w:t xml:space="preserve">nternational </w:t>
      </w:r>
      <w:r>
        <w:rPr>
          <w:rStyle w:val="3"/>
          <w:rFonts w:hint="default" w:ascii="Arial" w:hAnsi="Arial" w:cs="Arial"/>
          <w:b w:val="0"/>
          <w:bCs w:val="0"/>
          <w:sz w:val="20"/>
          <w:szCs w:val="20"/>
          <w:lang w:val="en-US"/>
        </w:rPr>
        <w:t>J</w:t>
      </w:r>
      <w:r>
        <w:rPr>
          <w:rStyle w:val="3"/>
          <w:rFonts w:hint="default" w:ascii="Arial" w:hAnsi="Arial" w:eastAsia="SimSun" w:cs="Arial"/>
          <w:b w:val="0"/>
          <w:bCs w:val="0"/>
          <w:sz w:val="20"/>
          <w:szCs w:val="20"/>
        </w:rPr>
        <w:t xml:space="preserve">ournal of </w:t>
      </w:r>
      <w:r>
        <w:rPr>
          <w:rStyle w:val="3"/>
          <w:rFonts w:hint="default" w:ascii="Arial" w:hAnsi="Arial" w:cs="Arial"/>
          <w:b w:val="0"/>
          <w:bCs w:val="0"/>
          <w:sz w:val="20"/>
          <w:szCs w:val="20"/>
          <w:lang w:val="en-US"/>
        </w:rPr>
        <w:t>C</w:t>
      </w:r>
      <w:r>
        <w:rPr>
          <w:rStyle w:val="3"/>
          <w:rFonts w:hint="default" w:ascii="Arial" w:hAnsi="Arial" w:eastAsia="SimSun" w:cs="Arial"/>
          <w:b w:val="0"/>
          <w:bCs w:val="0"/>
          <w:sz w:val="20"/>
          <w:szCs w:val="20"/>
        </w:rPr>
        <w:t xml:space="preserve">urrent </w:t>
      </w:r>
      <w:r>
        <w:rPr>
          <w:rStyle w:val="3"/>
          <w:rFonts w:hint="default" w:ascii="Arial" w:hAnsi="Arial" w:cs="Arial"/>
          <w:b w:val="0"/>
          <w:bCs w:val="0"/>
          <w:sz w:val="20"/>
          <w:szCs w:val="20"/>
          <w:lang w:val="en-US"/>
        </w:rPr>
        <w:t>R</w:t>
      </w:r>
      <w:r>
        <w:rPr>
          <w:rStyle w:val="3"/>
          <w:rFonts w:hint="default" w:ascii="Arial" w:hAnsi="Arial" w:eastAsia="SimSun" w:cs="Arial"/>
          <w:b w:val="0"/>
          <w:bCs w:val="0"/>
          <w:sz w:val="20"/>
          <w:szCs w:val="20"/>
        </w:rPr>
        <w:t>esearch</w:t>
      </w:r>
      <w:r>
        <w:rPr>
          <w:rStyle w:val="3"/>
          <w:rFonts w:hint="default" w:ascii="Arial" w:hAnsi="Arial" w:cs="Arial"/>
          <w:b w:val="0"/>
          <w:bCs w:val="0"/>
          <w:sz w:val="20"/>
          <w:szCs w:val="20"/>
          <w:lang w:val="en-US"/>
        </w:rPr>
        <w:t xml:space="preserve">, ISSN NO.: 0975- 833X. </w:t>
      </w:r>
      <w:r>
        <w:rPr>
          <w:rFonts w:hint="default" w:ascii="Arial" w:hAnsi="Arial" w:cs="Arial"/>
          <w:b w:val="0"/>
          <w:bCs w:val="0"/>
          <w:sz w:val="20"/>
          <w:szCs w:val="20"/>
          <w:lang w:val="en-US"/>
        </w:rPr>
        <w:t>“A</w:t>
      </w:r>
      <w:r>
        <w:rPr>
          <w:rFonts w:hint="default" w:ascii="Arial" w:hAnsi="Arial" w:cs="Arial"/>
          <w:sz w:val="20"/>
          <w:szCs w:val="20"/>
        </w:rPr>
        <w:t xml:space="preserve">n interventional study to ensure timeliness of nutritional assessment among spinal cord injured patients at tertiary care hospital in </w:t>
      </w:r>
      <w:r>
        <w:rPr>
          <w:rFonts w:hint="default" w:ascii="Arial" w:hAnsi="Arial" w:cs="Arial"/>
          <w:sz w:val="20"/>
          <w:szCs w:val="20"/>
          <w:lang w:val="en-US"/>
        </w:rPr>
        <w:t>I</w:t>
      </w:r>
      <w:r>
        <w:rPr>
          <w:rFonts w:hint="default" w:ascii="Arial" w:hAnsi="Arial" w:cs="Arial"/>
          <w:sz w:val="20"/>
          <w:szCs w:val="20"/>
        </w:rPr>
        <w:t>ndia</w:t>
      </w:r>
      <w:r>
        <w:rPr>
          <w:rFonts w:hint="default" w:ascii="Arial" w:hAnsi="Arial" w:cs="Arial"/>
          <w:b/>
          <w:bCs/>
          <w:sz w:val="20"/>
          <w:szCs w:val="20"/>
          <w:lang w:val="en-US"/>
        </w:rPr>
        <w:t xml:space="preserve">” </w:t>
      </w:r>
      <w:r>
        <w:rPr>
          <w:rFonts w:hint="default" w:ascii="Arial" w:hAnsi="Arial" w:cs="Arial"/>
          <w:b w:val="0"/>
          <w:bCs w:val="0"/>
          <w:sz w:val="20"/>
          <w:szCs w:val="20"/>
          <w:lang w:val="en-US"/>
        </w:rPr>
        <w:t xml:space="preserve">published </w:t>
      </w:r>
      <w:r>
        <w:rPr>
          <w:rStyle w:val="3"/>
          <w:rFonts w:hint="default" w:ascii="Arial" w:hAnsi="Arial" w:cs="Arial"/>
          <w:b w:val="0"/>
          <w:bCs w:val="0"/>
          <w:sz w:val="20"/>
          <w:szCs w:val="20"/>
          <w:lang w:val="en-US"/>
        </w:rPr>
        <w:t>in International Journal of Current Advanced Research. ISSN NO.: 2319-6475, Volume 9, Issue 12, December 2017</w:t>
      </w:r>
    </w:p>
    <w:p>
      <w:pPr>
        <w:keepLines w:val="0"/>
        <w:numPr>
          <w:ilvl w:val="0"/>
          <w:numId w:val="1"/>
        </w:numPr>
        <w:tabs>
          <w:tab w:val="left" w:pos="426"/>
        </w:tabs>
        <w:spacing w:line="360" w:lineRule="auto"/>
        <w:jc w:val="both"/>
        <w:rPr>
          <w:rFonts w:hint="default" w:ascii="Arial" w:hAnsi="Arial" w:eastAsia="Times New Roman" w:cs="Arial"/>
          <w:b w:val="0"/>
          <w:bCs w:val="0"/>
          <w:sz w:val="20"/>
          <w:szCs w:val="20"/>
          <w:lang w:val="en-US"/>
        </w:rPr>
      </w:pPr>
      <w:r>
        <w:rPr>
          <w:rFonts w:hint="default" w:ascii="Arial" w:hAnsi="Arial" w:cs="Arial"/>
          <w:sz w:val="20"/>
          <w:szCs w:val="20"/>
          <w:lang w:val="en-US"/>
        </w:rPr>
        <w:t>Principle author of Original research article on “</w:t>
      </w:r>
      <w:r>
        <w:rPr>
          <w:rFonts w:hint="default" w:ascii="Arial" w:hAnsi="Arial" w:cs="Arial"/>
          <w:b w:val="0"/>
          <w:bCs/>
          <w:sz w:val="20"/>
          <w:szCs w:val="20"/>
          <w:u w:val="none"/>
          <w:lang w:val="en-US"/>
        </w:rPr>
        <w:t xml:space="preserve">A prospective KAP study </w:t>
      </w:r>
      <w:r>
        <w:rPr>
          <w:rFonts w:hint="default" w:ascii="Arial" w:hAnsi="Arial" w:cs="Arial"/>
          <w:b w:val="0"/>
          <w:bCs/>
          <w:sz w:val="20"/>
          <w:szCs w:val="20"/>
          <w:u w:val="none"/>
        </w:rPr>
        <w:t>on disaster management</w:t>
      </w:r>
      <w:r>
        <w:rPr>
          <w:rFonts w:hint="default" w:ascii="Arial" w:hAnsi="Arial" w:cs="Arial"/>
          <w:b w:val="0"/>
          <w:bCs/>
          <w:sz w:val="20"/>
          <w:szCs w:val="20"/>
          <w:u w:val="none"/>
          <w:lang w:val="en-US"/>
        </w:rPr>
        <w:t xml:space="preserve"> of healthcare staff” </w:t>
      </w:r>
      <w:r>
        <w:rPr>
          <w:rFonts w:hint="default" w:ascii="Arial" w:hAnsi="Arial" w:cs="Arial"/>
          <w:sz w:val="20"/>
          <w:szCs w:val="20"/>
          <w:lang w:val="en-US"/>
        </w:rPr>
        <w:t>published in International Journal of Therapeutic Applications</w:t>
      </w:r>
      <w:r>
        <w:rPr>
          <w:rFonts w:hint="default" w:ascii="Arial" w:hAnsi="Arial" w:cs="Arial"/>
          <w:sz w:val="20"/>
          <w:szCs w:val="20"/>
        </w:rPr>
        <w:t xml:space="preserve">, </w:t>
      </w:r>
      <w:r>
        <w:rPr>
          <w:rFonts w:hint="default" w:ascii="Arial" w:hAnsi="Arial" w:cs="Arial"/>
          <w:sz w:val="20"/>
          <w:szCs w:val="20"/>
          <w:lang w:val="en-US"/>
        </w:rPr>
        <w:t xml:space="preserve">Volume 33, 129-134, </w:t>
      </w:r>
      <w:r>
        <w:rPr>
          <w:rFonts w:hint="default" w:ascii="Arial" w:hAnsi="Arial" w:cs="Arial"/>
          <w:sz w:val="20"/>
          <w:szCs w:val="20"/>
        </w:rPr>
        <w:t>201</w:t>
      </w:r>
      <w:r>
        <w:rPr>
          <w:rFonts w:hint="default" w:ascii="Arial" w:hAnsi="Arial" w:cs="Arial"/>
          <w:sz w:val="20"/>
          <w:szCs w:val="20"/>
          <w:lang w:val="en-US"/>
        </w:rPr>
        <w:t>6</w:t>
      </w:r>
      <w:r>
        <w:rPr>
          <w:rFonts w:hint="default" w:ascii="Arial" w:hAnsi="Arial" w:cs="Arial"/>
          <w:sz w:val="20"/>
          <w:szCs w:val="20"/>
        </w:rPr>
        <w:t xml:space="preserve">, </w:t>
      </w:r>
      <w:r>
        <w:rPr>
          <w:rFonts w:hint="default" w:ascii="Arial" w:hAnsi="Arial" w:cs="Arial"/>
          <w:sz w:val="20"/>
          <w:szCs w:val="20"/>
          <w:lang w:val="en-US"/>
        </w:rPr>
        <w:t>ISSN: 2320-138X.</w:t>
      </w:r>
    </w:p>
    <w:p>
      <w:pPr>
        <w:keepLines w:val="0"/>
        <w:numPr>
          <w:ilvl w:val="0"/>
          <w:numId w:val="1"/>
        </w:numPr>
        <w:tabs>
          <w:tab w:val="left" w:pos="426"/>
        </w:tabs>
        <w:spacing w:line="360" w:lineRule="auto"/>
        <w:jc w:val="both"/>
        <w:rPr>
          <w:rFonts w:hint="default" w:ascii="Arial" w:hAnsi="Arial" w:eastAsia="Times New Roman" w:cs="Arial"/>
          <w:b w:val="0"/>
          <w:bCs w:val="0"/>
          <w:sz w:val="20"/>
          <w:szCs w:val="20"/>
          <w:lang w:val="en-US"/>
        </w:rPr>
      </w:pPr>
      <w:r>
        <w:rPr>
          <w:rFonts w:hint="default" w:ascii="Arial" w:hAnsi="Arial" w:cs="Arial"/>
          <w:sz w:val="20"/>
          <w:szCs w:val="20"/>
          <w:lang w:val="en-US"/>
        </w:rPr>
        <w:t xml:space="preserve">Co-Author of </w:t>
      </w:r>
      <w:r>
        <w:rPr>
          <w:rFonts w:hint="default" w:ascii="Arial" w:hAnsi="Arial" w:eastAsia="Times New Roman" w:cs="Arial"/>
          <w:b w:val="0"/>
          <w:bCs w:val="0"/>
          <w:sz w:val="20"/>
          <w:szCs w:val="20"/>
          <w:lang w:val="en-US"/>
        </w:rPr>
        <w:t xml:space="preserve">Review article: Capping on compensation for medical malpractice law suite in </w:t>
      </w:r>
      <w:r>
        <w:rPr>
          <w:rFonts w:hint="default" w:ascii="Arial" w:hAnsi="Arial" w:cs="Arial"/>
          <w:b w:val="0"/>
          <w:bCs w:val="0"/>
          <w:sz w:val="20"/>
          <w:szCs w:val="20"/>
          <w:lang w:val="en-US"/>
        </w:rPr>
        <w:t>I</w:t>
      </w:r>
      <w:r>
        <w:rPr>
          <w:rFonts w:hint="default" w:ascii="Arial" w:hAnsi="Arial" w:eastAsia="Times New Roman" w:cs="Arial"/>
          <w:b w:val="0"/>
          <w:bCs w:val="0"/>
          <w:sz w:val="20"/>
          <w:szCs w:val="20"/>
          <w:lang w:val="en-US"/>
        </w:rPr>
        <w:t>ndia</w:t>
      </w:r>
      <w:r>
        <w:rPr>
          <w:rFonts w:hint="default" w:ascii="Arial" w:hAnsi="Arial" w:cs="Arial"/>
          <w:b w:val="0"/>
          <w:bCs w:val="0"/>
          <w:sz w:val="20"/>
          <w:szCs w:val="20"/>
          <w:lang w:val="en-US"/>
        </w:rPr>
        <w:t xml:space="preserve"> </w:t>
      </w:r>
      <w:r>
        <w:rPr>
          <w:rFonts w:hint="default" w:ascii="Arial" w:hAnsi="Arial" w:cs="Arial"/>
          <w:sz w:val="20"/>
          <w:szCs w:val="20"/>
          <w:lang w:val="en-US"/>
        </w:rPr>
        <w:t>published in Medico Research Chronicles Journal 2016, 4 (5), ISSN:2394-3971</w:t>
      </w:r>
    </w:p>
    <w:p>
      <w:pPr>
        <w:keepLines w:val="0"/>
        <w:numPr>
          <w:ilvl w:val="0"/>
          <w:numId w:val="1"/>
        </w:numPr>
        <w:tabs>
          <w:tab w:val="left" w:pos="426"/>
        </w:tabs>
        <w:spacing w:line="360" w:lineRule="auto"/>
        <w:jc w:val="both"/>
        <w:rPr>
          <w:rFonts w:hint="default" w:ascii="Arial" w:hAnsi="Arial" w:eastAsia="Calibri" w:cs="Arial"/>
          <w:color w:val="000000"/>
          <w:sz w:val="20"/>
          <w:szCs w:val="20"/>
        </w:rPr>
      </w:pPr>
      <w:r>
        <w:rPr>
          <w:rFonts w:hint="default" w:ascii="Arial" w:hAnsi="Arial" w:cs="Arial"/>
          <w:sz w:val="20"/>
          <w:szCs w:val="20"/>
          <w:lang w:val="en-US"/>
        </w:rPr>
        <w:t xml:space="preserve">Principle author of Original research </w:t>
      </w:r>
      <w:bookmarkStart w:id="0" w:name="_GoBack"/>
      <w:bookmarkEnd w:id="0"/>
      <w:r>
        <w:rPr>
          <w:rFonts w:hint="default" w:ascii="Arial" w:hAnsi="Arial" w:cs="Arial"/>
          <w:sz w:val="20"/>
          <w:szCs w:val="20"/>
          <w:lang w:val="en-US"/>
        </w:rPr>
        <w:t>article on “National Patient Safety Goals: Awareness among nurses in superspeciality hospital of Delhi”, published in Medico Research Chronicles Journal volume II, June 2015: ISSN:2394-3971</w:t>
      </w:r>
    </w:p>
    <w:p>
      <w:pPr>
        <w:keepLines w:val="0"/>
        <w:numPr>
          <w:ilvl w:val="0"/>
          <w:numId w:val="1"/>
        </w:numPr>
        <w:tabs>
          <w:tab w:val="left" w:pos="426"/>
        </w:tabs>
        <w:spacing w:line="360" w:lineRule="auto"/>
        <w:jc w:val="both"/>
        <w:rPr>
          <w:rFonts w:hint="default" w:ascii="Arial" w:hAnsi="Arial" w:cs="Arial"/>
          <w:b/>
          <w:bCs/>
          <w:sz w:val="20"/>
          <w:szCs w:val="20"/>
          <w:lang w:val="en-US"/>
        </w:rPr>
      </w:pPr>
      <w:r>
        <w:rPr>
          <w:rFonts w:hint="default" w:ascii="Arial" w:hAnsi="Arial" w:cs="Arial"/>
          <w:sz w:val="20"/>
          <w:szCs w:val="20"/>
          <w:lang w:val="en-US"/>
        </w:rPr>
        <w:t xml:space="preserve">Principle author of Original research article on “Looking through the lens of National Patient Safety Goals: Awareness about Infection control practices among nurses in superspeciality hospital of Delhi” published in International Journal of Therapeutic Applications </w:t>
      </w:r>
      <w:r>
        <w:rPr>
          <w:rFonts w:hint="default" w:ascii="Arial" w:hAnsi="Arial" w:cs="Arial"/>
          <w:sz w:val="20"/>
          <w:szCs w:val="20"/>
        </w:rPr>
        <w:t>Volume 25, 2015, 23-28</w:t>
      </w:r>
      <w:r>
        <w:rPr>
          <w:rFonts w:hint="default" w:ascii="Arial" w:hAnsi="Arial" w:cs="Arial"/>
          <w:sz w:val="20"/>
          <w:szCs w:val="20"/>
          <w:lang w:val="en-US"/>
        </w:rPr>
        <w:t>, ISSN: 2320-138X</w:t>
      </w:r>
    </w:p>
    <w:p>
      <w:pPr>
        <w:keepLines w:val="0"/>
        <w:numPr>
          <w:ilvl w:val="0"/>
          <w:numId w:val="1"/>
        </w:numPr>
        <w:tabs>
          <w:tab w:val="left" w:pos="426"/>
        </w:tabs>
        <w:spacing w:line="360" w:lineRule="auto"/>
        <w:jc w:val="both"/>
        <w:rPr>
          <w:rFonts w:hint="default" w:ascii="Arial" w:hAnsi="Arial" w:cs="Arial"/>
          <w:sz w:val="20"/>
          <w:szCs w:val="20"/>
        </w:rPr>
      </w:pPr>
      <w:r>
        <w:rPr>
          <w:rFonts w:hint="default" w:ascii="Arial" w:hAnsi="Arial" w:cs="Arial"/>
          <w:sz w:val="20"/>
          <w:szCs w:val="20"/>
        </w:rPr>
        <w:t>Author of Article on Risk mitigation in Radius healthcare Feb 2015</w:t>
      </w:r>
    </w:p>
    <w:p>
      <w:pPr>
        <w:keepLines w:val="0"/>
        <w:numPr>
          <w:ilvl w:val="0"/>
          <w:numId w:val="1"/>
        </w:numPr>
        <w:tabs>
          <w:tab w:val="left" w:pos="426"/>
        </w:tabs>
        <w:spacing w:line="360" w:lineRule="auto"/>
        <w:jc w:val="both"/>
        <w:rPr>
          <w:rFonts w:hint="default" w:ascii="Arial" w:hAnsi="Arial" w:cs="Arial"/>
          <w:sz w:val="20"/>
          <w:szCs w:val="20"/>
        </w:rPr>
      </w:pPr>
      <w:r>
        <w:rPr>
          <w:rFonts w:hint="default" w:ascii="Arial" w:hAnsi="Arial" w:cs="Arial"/>
          <w:sz w:val="20"/>
          <w:szCs w:val="20"/>
        </w:rPr>
        <w:t>Author of Certified Healthcare Quality Practitioner Training programme by AHPI</w:t>
      </w:r>
    </w:p>
    <w:p>
      <w:pPr>
        <w:keepLines w:val="0"/>
        <w:numPr>
          <w:ilvl w:val="0"/>
          <w:numId w:val="1"/>
        </w:numPr>
        <w:tabs>
          <w:tab w:val="left" w:pos="426"/>
        </w:tabs>
        <w:spacing w:line="360" w:lineRule="auto"/>
        <w:jc w:val="both"/>
        <w:rPr>
          <w:rFonts w:hint="default" w:ascii="Arial" w:hAnsi="Arial" w:cs="Arial"/>
          <w:sz w:val="20"/>
          <w:szCs w:val="20"/>
        </w:rPr>
      </w:pPr>
      <w:r>
        <w:rPr>
          <w:rFonts w:hint="default" w:ascii="Arial" w:hAnsi="Arial" w:cs="Arial"/>
          <w:sz w:val="20"/>
          <w:szCs w:val="20"/>
          <w:lang w:val="en-US"/>
        </w:rPr>
        <w:t>Author of three module on “Responsibilities of Management” in book “Mastering Accreditation” by CAHO</w:t>
      </w:r>
    </w:p>
    <w:p>
      <w:pPr>
        <w:spacing w:line="360" w:lineRule="auto"/>
        <w:rPr>
          <w:rFonts w:hint="default" w:ascii="Arial" w:hAnsi="Arial" w:cs="Arial"/>
          <w:sz w:val="20"/>
          <w:szCs w:val="20"/>
        </w:rPr>
      </w:pPr>
    </w:p>
    <w:p>
      <w:pPr>
        <w:rPr>
          <w:rFonts w:hint="default" w:ascii="Arial" w:hAnsi="Arial" w:cs="Arial"/>
          <w:b/>
          <w:bCs/>
          <w:sz w:val="20"/>
          <w:szCs w:val="20"/>
          <w:lang w:val="en-US"/>
        </w:rPr>
      </w:pPr>
      <w:r>
        <w:rPr>
          <w:rFonts w:hint="default" w:ascii="Arial" w:hAnsi="Arial" w:cs="Arial"/>
          <w:b/>
          <w:bCs/>
          <w:sz w:val="20"/>
          <w:szCs w:val="20"/>
          <w:lang w:val="en-US"/>
        </w:rPr>
        <w:t>Biography:</w:t>
      </w:r>
    </w:p>
    <w:p>
      <w:pPr>
        <w:rPr>
          <w:rFonts w:hint="default" w:ascii="Arial" w:hAnsi="Arial" w:cs="Arial"/>
          <w:sz w:val="20"/>
          <w:szCs w:val="20"/>
          <w:lang w:val="en-US"/>
        </w:rPr>
      </w:pPr>
      <w:r>
        <w:rPr>
          <w:rFonts w:hint="default" w:ascii="Arial" w:hAnsi="Arial" w:cs="Arial"/>
          <w:sz w:val="20"/>
          <w:szCs w:val="20"/>
          <w:lang w:val="en-US"/>
        </w:rPr>
        <w:drawing>
          <wp:inline distT="0" distB="0" distL="114300" distR="114300">
            <wp:extent cx="1143000" cy="964565"/>
            <wp:effectExtent l="0" t="0" r="0" b="6985"/>
            <wp:docPr id="1" name="Picture 1" descr="Nidhi Yadav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idhi Yadav Pic"/>
                    <pic:cNvPicPr>
                      <a:picLocks noChangeAspect="1"/>
                    </pic:cNvPicPr>
                  </pic:nvPicPr>
                  <pic:blipFill>
                    <a:blip r:embed="rId4"/>
                    <a:stretch>
                      <a:fillRect/>
                    </a:stretch>
                  </pic:blipFill>
                  <pic:spPr>
                    <a:xfrm>
                      <a:off x="0" y="0"/>
                      <a:ext cx="1143000" cy="964565"/>
                    </a:xfrm>
                    <a:prstGeom prst="rect">
                      <a:avLst/>
                    </a:prstGeom>
                  </pic:spPr>
                </pic:pic>
              </a:graphicData>
            </a:graphic>
          </wp:inline>
        </w:drawing>
      </w:r>
    </w:p>
    <w:p>
      <w:pPr>
        <w:jc w:val="both"/>
        <w:rPr>
          <w:rFonts w:hint="default" w:ascii="Arial" w:hAnsi="Arial" w:cs="Arial"/>
          <w:sz w:val="20"/>
          <w:szCs w:val="20"/>
          <w:lang w:val="en-US"/>
        </w:rPr>
      </w:pPr>
    </w:p>
    <w:p>
      <w:pPr>
        <w:spacing w:line="360" w:lineRule="auto"/>
        <w:jc w:val="both"/>
        <w:rPr>
          <w:rFonts w:hint="default" w:ascii="Arial" w:hAnsi="Arial" w:cs="Arial"/>
          <w:sz w:val="20"/>
          <w:szCs w:val="20"/>
          <w:lang w:val="en-US"/>
        </w:rPr>
      </w:pPr>
      <w:r>
        <w:rPr>
          <w:rFonts w:hint="default" w:ascii="Arial" w:hAnsi="Arial" w:cs="Arial"/>
          <w:sz w:val="20"/>
          <w:szCs w:val="20"/>
          <w:lang w:val="en-US"/>
        </w:rPr>
        <w:t>Ms. Nidhi Yadav is a research scholar with 10 years of work experience in the field of hospital quality and disaster management. She is a rehabilitation therapist with Masters in Hospital Administration and currently pursuing PhD in Management with focus area in disaster Management. Her area of work encompasses preparation of policies and procedure for accreditation of hospital, laboratory, blood bank and pharmacy department. She has published six original articles in various national and international journals and have strong background of research in patient safety and disaster management.</w:t>
      </w:r>
    </w:p>
    <w:p>
      <w:pPr>
        <w:rPr>
          <w:rFonts w:hint="default" w:ascii="Arial" w:hAnsi="Arial" w:cs="Arial"/>
          <w:sz w:val="20"/>
          <w:szCs w:val="20"/>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838DD"/>
    <w:multiLevelType w:val="multilevel"/>
    <w:tmpl w:val="548838DD"/>
    <w:lvl w:ilvl="0" w:tentative="0">
      <w:start w:val="1"/>
      <w:numFmt w:val="bullet"/>
      <w:lvlText w:val=""/>
      <w:lvlJc w:val="left"/>
      <w:pPr>
        <w:tabs>
          <w:tab w:val="left" w:pos="360"/>
        </w:tabs>
        <w:ind w:left="360" w:hanging="360"/>
      </w:pPr>
      <w:rPr>
        <w:rFonts w:hint="default" w:ascii="Symbol" w:hAnsi="Symbol"/>
      </w:rPr>
    </w:lvl>
    <w:lvl w:ilvl="1" w:tentative="0">
      <w:start w:val="1"/>
      <w:numFmt w:val="bullet"/>
      <w:lvlText w:val="o"/>
      <w:lvlJc w:val="left"/>
      <w:pPr>
        <w:tabs>
          <w:tab w:val="left" w:pos="1080"/>
        </w:tabs>
        <w:ind w:left="1080" w:hanging="360"/>
      </w:pPr>
      <w:rPr>
        <w:rFonts w:hint="default" w:ascii="Courier New" w:hAnsi="Courier New" w:cs="Courier New"/>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0E2728"/>
    <w:rsid w:val="310E27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3">
    <w:name w:val="Strong"/>
    <w:basedOn w:val="2"/>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Office_11.2.0.9031_F1E327BC-269C-435d-A152-05C5408002CA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2019-12-13T11:13:00Z</dcterms:created>
  <dc:creator>isic</dc:creator>
  <cp:lastModifiedBy>isic</cp:lastModifiedBy>
  <dcterms:modified xsi:type="dcterms:W3CDTF">2019-12-13T11:28:15Z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