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0765" w:rsidRPr="00AE7F3B" w:rsidRDefault="00040765" w:rsidP="00AE7F3B">
      <w:pPr>
        <w:pStyle w:val="Noraml"/>
        <w:jc w:val="center"/>
        <w:rPr>
          <w:rFonts w:cs="Times New Roman"/>
          <w:b/>
          <w:sz w:val="24"/>
          <w:szCs w:val="24"/>
          <w:lang w:val="en-GB" w:eastAsia="nl-BE"/>
        </w:rPr>
      </w:pPr>
      <w:r w:rsidRPr="00AE7F3B">
        <w:rPr>
          <w:rFonts w:cs="Times New Roman"/>
          <w:b/>
          <w:sz w:val="24"/>
          <w:szCs w:val="24"/>
          <w:lang w:eastAsia="nl-BE"/>
        </w:rPr>
        <w:t xml:space="preserve">Impact of deforestation on soil fertility, soil carbon and nitrogen stocks: the case of the </w:t>
      </w:r>
      <w:proofErr w:type="spellStart"/>
      <w:r w:rsidRPr="00AE7F3B">
        <w:rPr>
          <w:rFonts w:cs="Times New Roman"/>
          <w:b/>
          <w:sz w:val="24"/>
          <w:szCs w:val="24"/>
          <w:lang w:eastAsia="nl-BE"/>
        </w:rPr>
        <w:t>Gacheb</w:t>
      </w:r>
      <w:proofErr w:type="spellEnd"/>
      <w:r w:rsidRPr="00AE7F3B">
        <w:rPr>
          <w:rFonts w:cs="Times New Roman"/>
          <w:b/>
          <w:sz w:val="24"/>
          <w:szCs w:val="24"/>
          <w:lang w:eastAsia="nl-BE"/>
        </w:rPr>
        <w:t xml:space="preserve"> catchment in the White Nile Basin, Ethiopia.</w:t>
      </w:r>
    </w:p>
    <w:p w:rsidR="00040765" w:rsidRPr="00040765" w:rsidRDefault="00040765" w:rsidP="00040765">
      <w:pPr>
        <w:pStyle w:val="Noraml"/>
        <w:jc w:val="both"/>
        <w:rPr>
          <w:rFonts w:cs="Times New Roman"/>
          <w:sz w:val="24"/>
          <w:szCs w:val="24"/>
          <w:lang w:val="nl-BE" w:eastAsia="nl-BE"/>
        </w:rPr>
      </w:pPr>
      <w:r w:rsidRPr="00397B86">
        <w:rPr>
          <w:rFonts w:cs="Times New Roman"/>
          <w:sz w:val="24"/>
          <w:szCs w:val="24"/>
          <w:u w:val="single"/>
          <w:lang w:val="nl-BE" w:eastAsia="nl-BE"/>
        </w:rPr>
        <w:t>Henok Kassa</w:t>
      </w:r>
      <w:r w:rsidRPr="00040765">
        <w:rPr>
          <w:rFonts w:cs="Times New Roman"/>
          <w:sz w:val="24"/>
          <w:szCs w:val="24"/>
          <w:vertAlign w:val="superscript"/>
          <w:lang w:val="nl-BE" w:eastAsia="nl-BE"/>
        </w:rPr>
        <w:t>a,b,*</w:t>
      </w:r>
      <w:r w:rsidRPr="00040765">
        <w:rPr>
          <w:rFonts w:cs="Times New Roman"/>
          <w:sz w:val="24"/>
          <w:szCs w:val="24"/>
          <w:lang w:val="nl-BE" w:eastAsia="nl-BE"/>
        </w:rPr>
        <w:t>, Stefaan Dondeyne</w:t>
      </w:r>
      <w:r w:rsidRPr="00040765">
        <w:rPr>
          <w:rFonts w:cs="Times New Roman"/>
          <w:sz w:val="24"/>
          <w:szCs w:val="24"/>
          <w:vertAlign w:val="superscript"/>
          <w:lang w:val="nl-BE" w:eastAsia="nl-BE"/>
        </w:rPr>
        <w:t>c</w:t>
      </w:r>
      <w:r w:rsidRPr="00040765">
        <w:rPr>
          <w:rFonts w:cs="Times New Roman"/>
          <w:sz w:val="24"/>
          <w:szCs w:val="24"/>
          <w:lang w:val="nl-BE" w:eastAsia="nl-BE"/>
        </w:rPr>
        <w:t>, Jean Poesen</w:t>
      </w:r>
      <w:r w:rsidRPr="00040765">
        <w:rPr>
          <w:rFonts w:cs="Times New Roman"/>
          <w:sz w:val="24"/>
          <w:szCs w:val="24"/>
          <w:vertAlign w:val="superscript"/>
          <w:lang w:val="nl-BE" w:eastAsia="nl-BE"/>
        </w:rPr>
        <w:t>c</w:t>
      </w:r>
      <w:r w:rsidRPr="00040765">
        <w:rPr>
          <w:rFonts w:cs="Times New Roman"/>
          <w:sz w:val="24"/>
          <w:szCs w:val="24"/>
          <w:lang w:val="nl-BE" w:eastAsia="nl-BE"/>
        </w:rPr>
        <w:t>, Amaury Frankl</w:t>
      </w:r>
      <w:r w:rsidRPr="00040765">
        <w:rPr>
          <w:rFonts w:cs="Times New Roman"/>
          <w:sz w:val="24"/>
          <w:szCs w:val="24"/>
          <w:vertAlign w:val="superscript"/>
          <w:lang w:val="nl-BE" w:eastAsia="nl-BE"/>
        </w:rPr>
        <w:t>b</w:t>
      </w:r>
      <w:r w:rsidRPr="00040765">
        <w:rPr>
          <w:rFonts w:cs="Times New Roman"/>
          <w:sz w:val="24"/>
          <w:szCs w:val="24"/>
          <w:lang w:val="nl-BE" w:eastAsia="nl-BE"/>
        </w:rPr>
        <w:t>, Jan Nyssen</w:t>
      </w:r>
      <w:r w:rsidRPr="00040765">
        <w:rPr>
          <w:rFonts w:cs="Times New Roman"/>
          <w:sz w:val="24"/>
          <w:szCs w:val="24"/>
          <w:vertAlign w:val="superscript"/>
          <w:lang w:val="nl-BE" w:eastAsia="nl-BE"/>
        </w:rPr>
        <w:t>b</w:t>
      </w:r>
    </w:p>
    <w:p w:rsidR="00040765" w:rsidRPr="00040765" w:rsidRDefault="00040765" w:rsidP="00040765">
      <w:pPr>
        <w:spacing w:after="0"/>
        <w:ind w:left="180" w:hanging="180"/>
        <w:jc w:val="both"/>
        <w:rPr>
          <w:rFonts w:ascii="Times New Roman" w:hAnsi="Times New Roman" w:cs="Times New Roman"/>
          <w:sz w:val="24"/>
          <w:szCs w:val="24"/>
        </w:rPr>
      </w:pPr>
      <w:r w:rsidRPr="00040765">
        <w:rPr>
          <w:rFonts w:ascii="Times New Roman" w:hAnsi="Times New Roman" w:cs="Times New Roman"/>
          <w:sz w:val="24"/>
          <w:szCs w:val="24"/>
          <w:vertAlign w:val="superscript"/>
        </w:rPr>
        <w:t xml:space="preserve">a </w:t>
      </w:r>
      <w:r w:rsidRPr="00040765">
        <w:rPr>
          <w:rFonts w:ascii="Times New Roman" w:hAnsi="Times New Roman" w:cs="Times New Roman"/>
          <w:sz w:val="24"/>
          <w:szCs w:val="24"/>
        </w:rPr>
        <w:t xml:space="preserve">Department of Natural Resources Management, </w:t>
      </w:r>
      <w:proofErr w:type="spellStart"/>
      <w:r w:rsidRPr="00040765">
        <w:rPr>
          <w:rFonts w:ascii="Times New Roman" w:hAnsi="Times New Roman" w:cs="Times New Roman"/>
          <w:sz w:val="24"/>
          <w:szCs w:val="24"/>
        </w:rPr>
        <w:t>Mizan-Tepi</w:t>
      </w:r>
      <w:proofErr w:type="spellEnd"/>
      <w:r w:rsidRPr="00040765">
        <w:rPr>
          <w:rFonts w:ascii="Times New Roman" w:hAnsi="Times New Roman" w:cs="Times New Roman"/>
          <w:sz w:val="24"/>
          <w:szCs w:val="24"/>
        </w:rPr>
        <w:t xml:space="preserve"> University, PO Box 391, </w:t>
      </w:r>
      <w:proofErr w:type="spellStart"/>
      <w:r w:rsidRPr="00040765">
        <w:rPr>
          <w:rFonts w:ascii="Times New Roman" w:hAnsi="Times New Roman" w:cs="Times New Roman"/>
          <w:sz w:val="24"/>
          <w:szCs w:val="24"/>
        </w:rPr>
        <w:t>Mizan</w:t>
      </w:r>
      <w:proofErr w:type="spellEnd"/>
      <w:r w:rsidRPr="00040765">
        <w:rPr>
          <w:rFonts w:ascii="Times New Roman" w:hAnsi="Times New Roman" w:cs="Times New Roman"/>
          <w:sz w:val="24"/>
          <w:szCs w:val="24"/>
        </w:rPr>
        <w:t xml:space="preserve"> </w:t>
      </w:r>
      <w:proofErr w:type="spellStart"/>
      <w:r w:rsidRPr="00040765">
        <w:rPr>
          <w:rFonts w:ascii="Times New Roman" w:hAnsi="Times New Roman" w:cs="Times New Roman"/>
          <w:sz w:val="24"/>
          <w:szCs w:val="24"/>
        </w:rPr>
        <w:t>Teferi</w:t>
      </w:r>
      <w:proofErr w:type="spellEnd"/>
      <w:r w:rsidRPr="00040765">
        <w:rPr>
          <w:rFonts w:ascii="Times New Roman" w:hAnsi="Times New Roman" w:cs="Times New Roman"/>
          <w:sz w:val="24"/>
          <w:szCs w:val="24"/>
        </w:rPr>
        <w:t>, Ethiopia</w:t>
      </w:r>
    </w:p>
    <w:p w:rsidR="00040765" w:rsidRPr="00040765" w:rsidRDefault="00040765" w:rsidP="00040765">
      <w:pPr>
        <w:spacing w:after="0"/>
        <w:jc w:val="both"/>
        <w:rPr>
          <w:rFonts w:ascii="Times New Roman" w:hAnsi="Times New Roman" w:cs="Times New Roman"/>
          <w:sz w:val="24"/>
          <w:szCs w:val="24"/>
        </w:rPr>
      </w:pPr>
      <w:r w:rsidRPr="00040765">
        <w:rPr>
          <w:rFonts w:ascii="Times New Roman" w:hAnsi="Times New Roman" w:cs="Times New Roman"/>
          <w:sz w:val="24"/>
          <w:szCs w:val="24"/>
          <w:vertAlign w:val="superscript"/>
        </w:rPr>
        <w:t xml:space="preserve">b </w:t>
      </w:r>
      <w:r w:rsidRPr="00040765">
        <w:rPr>
          <w:rFonts w:ascii="Times New Roman" w:hAnsi="Times New Roman" w:cs="Times New Roman"/>
          <w:sz w:val="24"/>
          <w:szCs w:val="24"/>
        </w:rPr>
        <w:t xml:space="preserve">Department of Geography, Ghent University, </w:t>
      </w:r>
      <w:proofErr w:type="spellStart"/>
      <w:r w:rsidRPr="00040765">
        <w:rPr>
          <w:rFonts w:ascii="Times New Roman" w:hAnsi="Times New Roman" w:cs="Times New Roman"/>
          <w:sz w:val="24"/>
          <w:szCs w:val="24"/>
        </w:rPr>
        <w:t>Krijgslaan</w:t>
      </w:r>
      <w:proofErr w:type="spellEnd"/>
      <w:r w:rsidRPr="00040765">
        <w:rPr>
          <w:rFonts w:ascii="Times New Roman" w:hAnsi="Times New Roman" w:cs="Times New Roman"/>
          <w:sz w:val="24"/>
          <w:szCs w:val="24"/>
        </w:rPr>
        <w:t xml:space="preserve"> 281 S8, B − 9000 Gent, Belgium</w:t>
      </w:r>
    </w:p>
    <w:p w:rsidR="00040765" w:rsidRPr="00040765" w:rsidRDefault="00040765" w:rsidP="00040765">
      <w:pPr>
        <w:spacing w:after="0"/>
        <w:ind w:left="180" w:hanging="180"/>
        <w:jc w:val="both"/>
        <w:rPr>
          <w:rFonts w:ascii="Times New Roman" w:hAnsi="Times New Roman" w:cs="Times New Roman"/>
          <w:sz w:val="24"/>
          <w:szCs w:val="24"/>
          <w:highlight w:val="red"/>
        </w:rPr>
      </w:pPr>
      <w:r w:rsidRPr="00040765">
        <w:rPr>
          <w:rFonts w:ascii="Times New Roman" w:hAnsi="Times New Roman" w:cs="Times New Roman"/>
          <w:sz w:val="24"/>
          <w:szCs w:val="24"/>
          <w:vertAlign w:val="superscript"/>
        </w:rPr>
        <w:t xml:space="preserve">c </w:t>
      </w:r>
      <w:r w:rsidRPr="00040765">
        <w:rPr>
          <w:rFonts w:ascii="Times New Roman" w:hAnsi="Times New Roman" w:cs="Times New Roman"/>
          <w:sz w:val="24"/>
          <w:szCs w:val="24"/>
        </w:rPr>
        <w:t xml:space="preserve">Department of Earth and Environmental Sciences, KU Leuven, </w:t>
      </w:r>
      <w:proofErr w:type="spellStart"/>
      <w:r w:rsidRPr="00040765">
        <w:rPr>
          <w:rFonts w:ascii="Times New Roman" w:hAnsi="Times New Roman" w:cs="Times New Roman"/>
          <w:sz w:val="24"/>
          <w:szCs w:val="24"/>
        </w:rPr>
        <w:t>Celestijnenlaan</w:t>
      </w:r>
      <w:proofErr w:type="spellEnd"/>
      <w:r w:rsidRPr="00040765">
        <w:rPr>
          <w:rFonts w:ascii="Times New Roman" w:hAnsi="Times New Roman" w:cs="Times New Roman"/>
          <w:sz w:val="24"/>
          <w:szCs w:val="24"/>
        </w:rPr>
        <w:t xml:space="preserve"> 200E, 3001 </w:t>
      </w:r>
      <w:proofErr w:type="spellStart"/>
      <w:r w:rsidRPr="00040765">
        <w:rPr>
          <w:rFonts w:ascii="Times New Roman" w:hAnsi="Times New Roman" w:cs="Times New Roman"/>
          <w:sz w:val="24"/>
          <w:szCs w:val="24"/>
        </w:rPr>
        <w:t>Heverlee</w:t>
      </w:r>
      <w:proofErr w:type="spellEnd"/>
      <w:r w:rsidRPr="00040765">
        <w:rPr>
          <w:rFonts w:ascii="Times New Roman" w:hAnsi="Times New Roman" w:cs="Times New Roman"/>
          <w:sz w:val="24"/>
          <w:szCs w:val="24"/>
        </w:rPr>
        <w:t>, Belgium</w:t>
      </w:r>
      <w:r w:rsidRPr="00040765">
        <w:rPr>
          <w:rFonts w:ascii="Times New Roman" w:hAnsi="Times New Roman" w:cs="Times New Roman"/>
          <w:sz w:val="24"/>
          <w:szCs w:val="24"/>
        </w:rPr>
        <w:cr/>
      </w:r>
    </w:p>
    <w:p w:rsidR="00040765" w:rsidRPr="00040765" w:rsidRDefault="00040765" w:rsidP="00040765">
      <w:pPr>
        <w:pStyle w:val="Noraml"/>
        <w:jc w:val="both"/>
        <w:rPr>
          <w:rFonts w:cs="Times New Roman"/>
          <w:b/>
          <w:sz w:val="24"/>
          <w:szCs w:val="24"/>
          <w:lang w:eastAsia="nl-BE"/>
        </w:rPr>
      </w:pPr>
      <w:r w:rsidRPr="00040765">
        <w:rPr>
          <w:rFonts w:cs="Times New Roman"/>
          <w:b/>
          <w:sz w:val="24"/>
          <w:szCs w:val="24"/>
          <w:lang w:eastAsia="nl-BE"/>
        </w:rPr>
        <w:t>Abstract</w:t>
      </w:r>
    </w:p>
    <w:p w:rsidR="00D25405" w:rsidRPr="00040765" w:rsidRDefault="00383043" w:rsidP="00383043">
      <w:pPr>
        <w:jc w:val="both"/>
        <w:rPr>
          <w:rFonts w:ascii="Times New Roman" w:hAnsi="Times New Roman" w:cs="Times New Roman"/>
          <w:sz w:val="24"/>
          <w:szCs w:val="24"/>
        </w:rPr>
      </w:pPr>
      <w:r w:rsidRPr="00040765">
        <w:rPr>
          <w:rFonts w:ascii="Times New Roman" w:hAnsi="Times New Roman" w:cs="Times New Roman"/>
          <w:sz w:val="24"/>
          <w:szCs w:val="24"/>
        </w:rPr>
        <w:t xml:space="preserve">The evergreen forests of southwest Ethiopia are important for soil fertility sustenance and climate change mitigation. However, the increasing human population and expansion of agricultural land have led to deforestation. We determine the effect of deforestation on soil fertility, soil carbon and nitrogen stocks and hypothesize that tropical forests and </w:t>
      </w:r>
      <w:proofErr w:type="spellStart"/>
      <w:r w:rsidRPr="00040765">
        <w:rPr>
          <w:rFonts w:ascii="Times New Roman" w:hAnsi="Times New Roman" w:cs="Times New Roman"/>
          <w:sz w:val="24"/>
          <w:szCs w:val="24"/>
        </w:rPr>
        <w:t>agroforestry</w:t>
      </w:r>
      <w:proofErr w:type="spellEnd"/>
      <w:r w:rsidRPr="00040765">
        <w:rPr>
          <w:rFonts w:ascii="Times New Roman" w:hAnsi="Times New Roman" w:cs="Times New Roman"/>
          <w:sz w:val="24"/>
          <w:szCs w:val="24"/>
        </w:rPr>
        <w:t xml:space="preserve"> have similar characteristics, in contrast to the deforested areas used as cropland. Hence, soil samples (n = 360) have been taken from the natural forest, </w:t>
      </w:r>
      <w:proofErr w:type="spellStart"/>
      <w:r w:rsidRPr="00040765">
        <w:rPr>
          <w:rFonts w:ascii="Times New Roman" w:hAnsi="Times New Roman" w:cs="Times New Roman"/>
          <w:sz w:val="24"/>
          <w:szCs w:val="24"/>
        </w:rPr>
        <w:t>agroforestry</w:t>
      </w:r>
      <w:proofErr w:type="spellEnd"/>
      <w:r w:rsidRPr="00040765">
        <w:rPr>
          <w:rFonts w:ascii="Times New Roman" w:hAnsi="Times New Roman" w:cs="Times New Roman"/>
          <w:sz w:val="24"/>
          <w:szCs w:val="24"/>
        </w:rPr>
        <w:t xml:space="preserve"> and croplands at four depths (0–20 cm, 20–40 cm, 40–60 cm and 60–80 cm) in three altitudinal belts. The topsoil and subsoil </w:t>
      </w:r>
      <w:proofErr w:type="spellStart"/>
      <w:r w:rsidRPr="00040765">
        <w:rPr>
          <w:rFonts w:ascii="Times New Roman" w:hAnsi="Times New Roman" w:cs="Times New Roman"/>
          <w:sz w:val="24"/>
          <w:szCs w:val="24"/>
        </w:rPr>
        <w:t>physico</w:t>
      </w:r>
      <w:proofErr w:type="spellEnd"/>
      <w:r w:rsidRPr="00040765">
        <w:rPr>
          <w:rFonts w:ascii="Times New Roman" w:hAnsi="Times New Roman" w:cs="Times New Roman"/>
          <w:sz w:val="24"/>
          <w:szCs w:val="24"/>
        </w:rPr>
        <w:t xml:space="preserve">-chemical characteristics, pH, organic carbon, total nitrogen, available phosphorus, exchangeable calcium, magnesium, </w:t>
      </w:r>
      <w:proofErr w:type="spellStart"/>
      <w:r w:rsidRPr="00040765">
        <w:rPr>
          <w:rFonts w:ascii="Times New Roman" w:hAnsi="Times New Roman" w:cs="Times New Roman"/>
          <w:sz w:val="24"/>
          <w:szCs w:val="24"/>
        </w:rPr>
        <w:t>cation</w:t>
      </w:r>
      <w:proofErr w:type="spellEnd"/>
      <w:r w:rsidRPr="00040765">
        <w:rPr>
          <w:rFonts w:ascii="Times New Roman" w:hAnsi="Times New Roman" w:cs="Times New Roman"/>
          <w:sz w:val="24"/>
          <w:szCs w:val="24"/>
        </w:rPr>
        <w:t xml:space="preserve"> exchange capacity and exchangeable base </w:t>
      </w:r>
      <w:proofErr w:type="spellStart"/>
      <w:r w:rsidRPr="00040765">
        <w:rPr>
          <w:rFonts w:ascii="Times New Roman" w:hAnsi="Times New Roman" w:cs="Times New Roman"/>
          <w:sz w:val="24"/>
          <w:szCs w:val="24"/>
        </w:rPr>
        <w:t>cations</w:t>
      </w:r>
      <w:proofErr w:type="spellEnd"/>
      <w:r w:rsidRPr="00040765">
        <w:rPr>
          <w:rFonts w:ascii="Times New Roman" w:hAnsi="Times New Roman" w:cs="Times New Roman"/>
          <w:sz w:val="24"/>
          <w:szCs w:val="24"/>
        </w:rPr>
        <w:t xml:space="preserve"> were significantly higher in both the forest and </w:t>
      </w:r>
      <w:proofErr w:type="spellStart"/>
      <w:r w:rsidRPr="00040765">
        <w:rPr>
          <w:rFonts w:ascii="Times New Roman" w:hAnsi="Times New Roman" w:cs="Times New Roman"/>
          <w:sz w:val="24"/>
          <w:szCs w:val="24"/>
        </w:rPr>
        <w:t>agroforestry</w:t>
      </w:r>
      <w:proofErr w:type="spellEnd"/>
      <w:r w:rsidRPr="00040765">
        <w:rPr>
          <w:rFonts w:ascii="Times New Roman" w:hAnsi="Times New Roman" w:cs="Times New Roman"/>
          <w:sz w:val="24"/>
          <w:szCs w:val="24"/>
        </w:rPr>
        <w:t xml:space="preserve"> than in croplands, at all elevation zones. Soil organic carbon and nitrogen stocks in soil under forest are similar to those under </w:t>
      </w:r>
      <w:proofErr w:type="spellStart"/>
      <w:r w:rsidRPr="00040765">
        <w:rPr>
          <w:rFonts w:ascii="Times New Roman" w:hAnsi="Times New Roman" w:cs="Times New Roman"/>
          <w:sz w:val="24"/>
          <w:szCs w:val="24"/>
        </w:rPr>
        <w:t>agroforestry</w:t>
      </w:r>
      <w:proofErr w:type="spellEnd"/>
      <w:r w:rsidRPr="00040765">
        <w:rPr>
          <w:rFonts w:ascii="Times New Roman" w:hAnsi="Times New Roman" w:cs="Times New Roman"/>
          <w:sz w:val="24"/>
          <w:szCs w:val="24"/>
        </w:rPr>
        <w:t xml:space="preserve"> at all elevation zones (0–20 cm, 20–40 cm, 40–60 cm and 60–80 cm soil depths). However, soil organic carbon and nitrogen stocks in soil under both forest and </w:t>
      </w:r>
      <w:proofErr w:type="spellStart"/>
      <w:r w:rsidRPr="00040765">
        <w:rPr>
          <w:rFonts w:ascii="Times New Roman" w:hAnsi="Times New Roman" w:cs="Times New Roman"/>
          <w:sz w:val="24"/>
          <w:szCs w:val="24"/>
        </w:rPr>
        <w:t>agroforestry</w:t>
      </w:r>
      <w:proofErr w:type="spellEnd"/>
      <w:r w:rsidRPr="00040765">
        <w:rPr>
          <w:rFonts w:ascii="Times New Roman" w:hAnsi="Times New Roman" w:cs="Times New Roman"/>
          <w:sz w:val="24"/>
          <w:szCs w:val="24"/>
        </w:rPr>
        <w:t xml:space="preserve"> were significantly different from cropland in all elevation zones at all depths except 60–80 cm. The highest total soil organic carbon stocks were recorded in the forest (412 Mg ha</w:t>
      </w:r>
      <w:r w:rsidRPr="007D03CA">
        <w:rPr>
          <w:rFonts w:ascii="Times New Roman" w:hAnsi="Times New Roman" w:cs="Times New Roman"/>
          <w:sz w:val="24"/>
          <w:szCs w:val="24"/>
          <w:vertAlign w:val="superscript"/>
        </w:rPr>
        <w:t>−1</w:t>
      </w:r>
      <w:r w:rsidRPr="00040765">
        <w:rPr>
          <w:rFonts w:ascii="Times New Roman" w:hAnsi="Times New Roman" w:cs="Times New Roman"/>
          <w:sz w:val="24"/>
          <w:szCs w:val="24"/>
        </w:rPr>
        <w:t xml:space="preserve"> at the FH site and 320 Mg ha</w:t>
      </w:r>
      <w:r w:rsidRPr="007D03CA">
        <w:rPr>
          <w:rFonts w:ascii="Times New Roman" w:hAnsi="Times New Roman" w:cs="Times New Roman"/>
          <w:sz w:val="24"/>
          <w:szCs w:val="24"/>
          <w:vertAlign w:val="superscript"/>
        </w:rPr>
        <w:t>−1</w:t>
      </w:r>
      <w:r w:rsidRPr="00040765">
        <w:rPr>
          <w:rFonts w:ascii="Times New Roman" w:hAnsi="Times New Roman" w:cs="Times New Roman"/>
          <w:sz w:val="24"/>
          <w:szCs w:val="24"/>
        </w:rPr>
        <w:t xml:space="preserve"> at the FL site) and </w:t>
      </w:r>
      <w:proofErr w:type="spellStart"/>
      <w:r w:rsidRPr="00040765">
        <w:rPr>
          <w:rFonts w:ascii="Times New Roman" w:hAnsi="Times New Roman" w:cs="Times New Roman"/>
          <w:sz w:val="24"/>
          <w:szCs w:val="24"/>
        </w:rPr>
        <w:t>agroforestry</w:t>
      </w:r>
      <w:proofErr w:type="spellEnd"/>
      <w:r w:rsidRPr="00040765">
        <w:rPr>
          <w:rFonts w:ascii="Times New Roman" w:hAnsi="Times New Roman" w:cs="Times New Roman"/>
          <w:sz w:val="24"/>
          <w:szCs w:val="24"/>
        </w:rPr>
        <w:t xml:space="preserve"> (357 Mg ha</w:t>
      </w:r>
      <w:r w:rsidRPr="007D03CA">
        <w:rPr>
          <w:rFonts w:ascii="Times New Roman" w:hAnsi="Times New Roman" w:cs="Times New Roman"/>
          <w:sz w:val="24"/>
          <w:szCs w:val="24"/>
          <w:vertAlign w:val="superscript"/>
        </w:rPr>
        <w:t>−1</w:t>
      </w:r>
      <w:r w:rsidRPr="00040765">
        <w:rPr>
          <w:rFonts w:ascii="Times New Roman" w:hAnsi="Times New Roman" w:cs="Times New Roman"/>
          <w:sz w:val="24"/>
          <w:szCs w:val="24"/>
        </w:rPr>
        <w:t xml:space="preserve"> at the DM site, 397 Mg ha</w:t>
      </w:r>
      <w:r w:rsidRPr="007D03CA">
        <w:rPr>
          <w:rFonts w:ascii="Times New Roman" w:hAnsi="Times New Roman" w:cs="Times New Roman"/>
          <w:sz w:val="24"/>
          <w:szCs w:val="24"/>
          <w:vertAlign w:val="superscript"/>
        </w:rPr>
        <w:t>−1</w:t>
      </w:r>
      <w:r w:rsidRPr="00040765">
        <w:rPr>
          <w:rFonts w:ascii="Times New Roman" w:hAnsi="Times New Roman" w:cs="Times New Roman"/>
          <w:sz w:val="24"/>
          <w:szCs w:val="24"/>
        </w:rPr>
        <w:t xml:space="preserve"> at the ZH site and 363 Mg ha</w:t>
      </w:r>
      <w:r w:rsidRPr="007D03CA">
        <w:rPr>
          <w:rFonts w:ascii="Times New Roman" w:hAnsi="Times New Roman" w:cs="Times New Roman"/>
          <w:sz w:val="24"/>
          <w:szCs w:val="24"/>
          <w:vertAlign w:val="superscript"/>
        </w:rPr>
        <w:t>−1</w:t>
      </w:r>
      <w:r w:rsidRPr="00040765">
        <w:rPr>
          <w:rFonts w:ascii="Times New Roman" w:hAnsi="Times New Roman" w:cs="Times New Roman"/>
          <w:sz w:val="24"/>
          <w:szCs w:val="24"/>
        </w:rPr>
        <w:t xml:space="preserve"> at the ZM site). The total organic carbon loss due to the conversion of forest to cropland ranges from 3.3 Mg ha</w:t>
      </w:r>
      <w:r w:rsidRPr="007D03CA">
        <w:rPr>
          <w:rFonts w:ascii="Times New Roman" w:hAnsi="Times New Roman" w:cs="Times New Roman"/>
          <w:sz w:val="24"/>
          <w:szCs w:val="24"/>
          <w:vertAlign w:val="superscript"/>
        </w:rPr>
        <w:t>−1</w:t>
      </w:r>
      <w:r w:rsidRPr="00040765">
        <w:rPr>
          <w:rFonts w:ascii="Times New Roman" w:hAnsi="Times New Roman" w:cs="Times New Roman"/>
          <w:sz w:val="24"/>
          <w:szCs w:val="24"/>
        </w:rPr>
        <w:t xml:space="preserve"> y</w:t>
      </w:r>
      <w:r w:rsidRPr="007D03CA">
        <w:rPr>
          <w:rFonts w:ascii="Times New Roman" w:hAnsi="Times New Roman" w:cs="Times New Roman"/>
          <w:sz w:val="24"/>
          <w:szCs w:val="24"/>
          <w:vertAlign w:val="superscript"/>
        </w:rPr>
        <w:t>−1</w:t>
      </w:r>
      <w:r w:rsidRPr="00040765">
        <w:rPr>
          <w:rFonts w:ascii="Times New Roman" w:hAnsi="Times New Roman" w:cs="Times New Roman"/>
          <w:sz w:val="24"/>
          <w:szCs w:val="24"/>
        </w:rPr>
        <w:t xml:space="preserve"> at the FL site to 8.0 Mg ha</w:t>
      </w:r>
      <w:r w:rsidRPr="007D03CA">
        <w:rPr>
          <w:rFonts w:ascii="Times New Roman" w:hAnsi="Times New Roman" w:cs="Times New Roman"/>
          <w:sz w:val="24"/>
          <w:szCs w:val="24"/>
          <w:vertAlign w:val="superscript"/>
        </w:rPr>
        <w:t>−1</w:t>
      </w:r>
      <w:r w:rsidRPr="00040765">
        <w:rPr>
          <w:rFonts w:ascii="Times New Roman" w:hAnsi="Times New Roman" w:cs="Times New Roman"/>
          <w:sz w:val="24"/>
          <w:szCs w:val="24"/>
        </w:rPr>
        <w:t xml:space="preserve"> y</w:t>
      </w:r>
      <w:r w:rsidRPr="007D03CA">
        <w:rPr>
          <w:rFonts w:ascii="Times New Roman" w:hAnsi="Times New Roman" w:cs="Times New Roman"/>
          <w:sz w:val="24"/>
          <w:szCs w:val="24"/>
          <w:vertAlign w:val="superscript"/>
        </w:rPr>
        <w:t>−1</w:t>
      </w:r>
      <w:r w:rsidRPr="00040765">
        <w:rPr>
          <w:rFonts w:ascii="Times New Roman" w:hAnsi="Times New Roman" w:cs="Times New Roman"/>
          <w:sz w:val="24"/>
          <w:szCs w:val="24"/>
        </w:rPr>
        <w:t xml:space="preserve"> at the FH site. The soil organic carbon and nitrogen losses due to the conversion of forest to cropland are similar to the losses when converting </w:t>
      </w:r>
      <w:proofErr w:type="spellStart"/>
      <w:r w:rsidRPr="00040765">
        <w:rPr>
          <w:rFonts w:ascii="Times New Roman" w:hAnsi="Times New Roman" w:cs="Times New Roman"/>
          <w:sz w:val="24"/>
          <w:szCs w:val="24"/>
        </w:rPr>
        <w:t>agroforestry</w:t>
      </w:r>
      <w:proofErr w:type="spellEnd"/>
      <w:r w:rsidRPr="00040765">
        <w:rPr>
          <w:rFonts w:ascii="Times New Roman" w:hAnsi="Times New Roman" w:cs="Times New Roman"/>
          <w:sz w:val="24"/>
          <w:szCs w:val="24"/>
        </w:rPr>
        <w:t xml:space="preserve"> to cropland. The total carbon dioxide emission due to the conversion of forest to cropland ranges from 12 Mg ha</w:t>
      </w:r>
      <w:r w:rsidRPr="007D03CA">
        <w:rPr>
          <w:rFonts w:ascii="Times New Roman" w:hAnsi="Times New Roman" w:cs="Times New Roman"/>
          <w:sz w:val="24"/>
          <w:szCs w:val="24"/>
          <w:vertAlign w:val="superscript"/>
        </w:rPr>
        <w:t>−1</w:t>
      </w:r>
      <w:r w:rsidRPr="00040765">
        <w:rPr>
          <w:rFonts w:ascii="Times New Roman" w:hAnsi="Times New Roman" w:cs="Times New Roman"/>
          <w:sz w:val="24"/>
          <w:szCs w:val="24"/>
        </w:rPr>
        <w:t xml:space="preserve"> y</w:t>
      </w:r>
      <w:r w:rsidRPr="007D03CA">
        <w:rPr>
          <w:rFonts w:ascii="Times New Roman" w:hAnsi="Times New Roman" w:cs="Times New Roman"/>
          <w:sz w:val="24"/>
          <w:szCs w:val="24"/>
          <w:vertAlign w:val="superscript"/>
        </w:rPr>
        <w:t>−1</w:t>
      </w:r>
      <w:r w:rsidRPr="00040765">
        <w:rPr>
          <w:rFonts w:ascii="Times New Roman" w:hAnsi="Times New Roman" w:cs="Times New Roman"/>
          <w:sz w:val="24"/>
          <w:szCs w:val="24"/>
        </w:rPr>
        <w:t xml:space="preserve"> at the FL site to 28 Mg ha</w:t>
      </w:r>
      <w:r w:rsidRPr="007D03CA">
        <w:rPr>
          <w:rFonts w:ascii="Times New Roman" w:hAnsi="Times New Roman" w:cs="Times New Roman"/>
          <w:sz w:val="24"/>
          <w:szCs w:val="24"/>
          <w:vertAlign w:val="superscript"/>
        </w:rPr>
        <w:t>−1</w:t>
      </w:r>
      <w:r w:rsidRPr="00040765">
        <w:rPr>
          <w:rFonts w:ascii="Times New Roman" w:hAnsi="Times New Roman" w:cs="Times New Roman"/>
          <w:sz w:val="24"/>
          <w:szCs w:val="24"/>
        </w:rPr>
        <w:t xml:space="preserve"> y</w:t>
      </w:r>
      <w:r w:rsidRPr="007D03CA">
        <w:rPr>
          <w:rFonts w:ascii="Times New Roman" w:hAnsi="Times New Roman" w:cs="Times New Roman"/>
          <w:sz w:val="24"/>
          <w:szCs w:val="24"/>
          <w:vertAlign w:val="superscript"/>
        </w:rPr>
        <w:t>−1</w:t>
      </w:r>
      <w:r w:rsidRPr="00040765">
        <w:rPr>
          <w:rFonts w:ascii="Times New Roman" w:hAnsi="Times New Roman" w:cs="Times New Roman"/>
          <w:sz w:val="24"/>
          <w:szCs w:val="24"/>
        </w:rPr>
        <w:t xml:space="preserve"> at the FH site. </w:t>
      </w:r>
      <w:proofErr w:type="spellStart"/>
      <w:r w:rsidRPr="00040765">
        <w:rPr>
          <w:rFonts w:ascii="Times New Roman" w:hAnsi="Times New Roman" w:cs="Times New Roman"/>
          <w:sz w:val="24"/>
          <w:szCs w:val="24"/>
        </w:rPr>
        <w:t>Agroforestry</w:t>
      </w:r>
      <w:proofErr w:type="spellEnd"/>
      <w:r w:rsidRPr="00040765">
        <w:rPr>
          <w:rFonts w:ascii="Times New Roman" w:hAnsi="Times New Roman" w:cs="Times New Roman"/>
          <w:sz w:val="24"/>
          <w:szCs w:val="24"/>
        </w:rPr>
        <w:t xml:space="preserve"> has the potential to maintain soil fertility, and stores higher soil organic carbon and nitrogen in proportion to the natural forest. Therefore, it can be suggested that </w:t>
      </w:r>
      <w:proofErr w:type="spellStart"/>
      <w:r w:rsidRPr="00040765">
        <w:rPr>
          <w:rFonts w:ascii="Times New Roman" w:hAnsi="Times New Roman" w:cs="Times New Roman"/>
          <w:sz w:val="24"/>
          <w:szCs w:val="24"/>
        </w:rPr>
        <w:t>agroforestry</w:t>
      </w:r>
      <w:proofErr w:type="spellEnd"/>
      <w:r w:rsidRPr="00040765">
        <w:rPr>
          <w:rFonts w:ascii="Times New Roman" w:hAnsi="Times New Roman" w:cs="Times New Roman"/>
          <w:sz w:val="24"/>
          <w:szCs w:val="24"/>
        </w:rPr>
        <w:t xml:space="preserve"> has a similar capacity as </w:t>
      </w:r>
      <w:proofErr w:type="spellStart"/>
      <w:r w:rsidRPr="00040765">
        <w:rPr>
          <w:rFonts w:ascii="Times New Roman" w:hAnsi="Times New Roman" w:cs="Times New Roman"/>
          <w:sz w:val="24"/>
          <w:szCs w:val="24"/>
        </w:rPr>
        <w:t>Afromontane</w:t>
      </w:r>
      <w:proofErr w:type="spellEnd"/>
      <w:r w:rsidRPr="00040765">
        <w:rPr>
          <w:rFonts w:ascii="Times New Roman" w:hAnsi="Times New Roman" w:cs="Times New Roman"/>
          <w:sz w:val="24"/>
          <w:szCs w:val="24"/>
        </w:rPr>
        <w:t xml:space="preserve"> forests to sustain soil fertility as well as to regulate greenhouse gas emissions.</w:t>
      </w:r>
    </w:p>
    <w:p w:rsidR="00040765" w:rsidRPr="00040765" w:rsidRDefault="007D03CA" w:rsidP="00383043">
      <w:pPr>
        <w:jc w:val="both"/>
        <w:rPr>
          <w:rFonts w:ascii="Times New Roman" w:hAnsi="Times New Roman" w:cs="Times New Roman"/>
          <w:sz w:val="24"/>
          <w:szCs w:val="24"/>
        </w:rPr>
      </w:pPr>
      <w:r>
        <w:rPr>
          <w:rFonts w:ascii="Times New Roman" w:hAnsi="Times New Roman" w:cs="Times New Roman"/>
          <w:sz w:val="24"/>
          <w:szCs w:val="24"/>
          <w:lang w:val="en-GB" w:eastAsia="nl-BE"/>
        </w:rPr>
        <w:t>Key</w:t>
      </w:r>
      <w:r w:rsidR="00040765" w:rsidRPr="00040765">
        <w:rPr>
          <w:rFonts w:ascii="Times New Roman" w:hAnsi="Times New Roman" w:cs="Times New Roman"/>
          <w:sz w:val="24"/>
          <w:szCs w:val="24"/>
          <w:lang w:val="en-GB" w:eastAsia="nl-BE"/>
        </w:rPr>
        <w:t xml:space="preserve">words: Evergreen forest, Soil </w:t>
      </w:r>
      <w:proofErr w:type="spellStart"/>
      <w:r w:rsidR="00040765" w:rsidRPr="00040765">
        <w:rPr>
          <w:rFonts w:ascii="Times New Roman" w:hAnsi="Times New Roman" w:cs="Times New Roman"/>
          <w:sz w:val="24"/>
          <w:szCs w:val="24"/>
          <w:lang w:val="en-GB" w:eastAsia="nl-BE"/>
        </w:rPr>
        <w:t>physico</w:t>
      </w:r>
      <w:proofErr w:type="spellEnd"/>
      <w:r w:rsidR="00040765" w:rsidRPr="00040765">
        <w:rPr>
          <w:rFonts w:ascii="Times New Roman" w:hAnsi="Times New Roman" w:cs="Times New Roman"/>
          <w:sz w:val="24"/>
          <w:szCs w:val="24"/>
          <w:lang w:val="en-GB" w:eastAsia="nl-BE"/>
        </w:rPr>
        <w:t>-chemical characteristics, Greenhouse gas</w:t>
      </w:r>
    </w:p>
    <w:sectPr w:rsidR="00040765" w:rsidRPr="00040765" w:rsidSect="00D2540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compat/>
  <w:rsids>
    <w:rsidRoot w:val="00383043"/>
    <w:rsid w:val="00040765"/>
    <w:rsid w:val="002E6DEE"/>
    <w:rsid w:val="00383043"/>
    <w:rsid w:val="00397B86"/>
    <w:rsid w:val="00481C4B"/>
    <w:rsid w:val="004B0652"/>
    <w:rsid w:val="005A3D7B"/>
    <w:rsid w:val="007D03CA"/>
    <w:rsid w:val="008C7B0C"/>
    <w:rsid w:val="00AE7F3B"/>
    <w:rsid w:val="00D25405"/>
    <w:rsid w:val="00F07C2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540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aml">
    <w:name w:val="Noraml"/>
    <w:basedOn w:val="Normal"/>
    <w:next w:val="Normal"/>
    <w:link w:val="NoramlChar"/>
    <w:qFormat/>
    <w:rsid w:val="00040765"/>
    <w:pPr>
      <w:spacing w:before="200"/>
    </w:pPr>
    <w:rPr>
      <w:rFonts w:ascii="Times New Roman" w:eastAsiaTheme="minorEastAsia" w:hAnsi="Times New Roman" w:cs="Arial"/>
      <w:lang w:bidi="en-US"/>
    </w:rPr>
  </w:style>
  <w:style w:type="character" w:customStyle="1" w:styleId="NoramlChar">
    <w:name w:val="Noraml Char"/>
    <w:basedOn w:val="DefaultParagraphFont"/>
    <w:link w:val="Noraml"/>
    <w:rsid w:val="00040765"/>
    <w:rPr>
      <w:rFonts w:ascii="Times New Roman" w:eastAsiaTheme="minorEastAsia" w:hAnsi="Times New Roman" w:cs="Arial"/>
      <w:lang w:bidi="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BEAF54-4E03-4003-A044-B5FFB1E5D5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132</TotalTime>
  <Pages>1</Pages>
  <Words>439</Words>
  <Characters>2506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Henok</dc:creator>
  <cp:lastModifiedBy>Henok</cp:lastModifiedBy>
  <cp:revision>9</cp:revision>
  <dcterms:created xsi:type="dcterms:W3CDTF">2018-04-13T19:21:00Z</dcterms:created>
  <dcterms:modified xsi:type="dcterms:W3CDTF">2018-04-13T21:42:00Z</dcterms:modified>
</cp:coreProperties>
</file>