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B8A" w:rsidRPr="00A901AA" w:rsidRDefault="00090B8A" w:rsidP="00A901AA">
      <w:pPr>
        <w:pStyle w:val="NormalWeb"/>
        <w:jc w:val="center"/>
        <w:rPr>
          <w:b/>
          <w:color w:val="000000"/>
          <w:sz w:val="27"/>
          <w:szCs w:val="27"/>
          <w:lang w:val="en-GB"/>
        </w:rPr>
      </w:pPr>
      <w:bookmarkStart w:id="0" w:name="_GoBack"/>
      <w:r w:rsidRPr="00A901AA">
        <w:rPr>
          <w:b/>
          <w:color w:val="000000"/>
          <w:sz w:val="27"/>
          <w:szCs w:val="27"/>
          <w:lang w:val="en-GB"/>
        </w:rPr>
        <w:t>Sub-chronic toxicity evaluation of top-three commercial herbal anti-malarial preparations in the Kumasi metropolis of Ghana</w:t>
      </w:r>
    </w:p>
    <w:bookmarkEnd w:id="0"/>
    <w:p w:rsidR="00090B8A" w:rsidRPr="00090B8A" w:rsidRDefault="00090B8A" w:rsidP="00090B8A">
      <w:pPr>
        <w:pStyle w:val="NormalWeb"/>
        <w:rPr>
          <w:color w:val="000000"/>
          <w:sz w:val="27"/>
          <w:szCs w:val="27"/>
          <w:lang w:val="en-GB"/>
        </w:rPr>
      </w:pPr>
      <w:r w:rsidRPr="00090B8A">
        <w:rPr>
          <w:color w:val="000000"/>
          <w:sz w:val="27"/>
          <w:szCs w:val="27"/>
          <w:lang w:val="en-GB"/>
        </w:rPr>
        <w:t>Running title: Sub-chronic toxicity of herbal anti-malarial preparations in Kumasi</w:t>
      </w:r>
    </w:p>
    <w:p w:rsidR="00090B8A" w:rsidRPr="00090B8A" w:rsidRDefault="00090B8A" w:rsidP="00090B8A">
      <w:pPr>
        <w:pStyle w:val="NormalWeb"/>
        <w:rPr>
          <w:color w:val="000000"/>
          <w:sz w:val="27"/>
          <w:szCs w:val="27"/>
          <w:lang w:val="en-GB"/>
        </w:rPr>
      </w:pPr>
      <w:r w:rsidRPr="00090B8A">
        <w:rPr>
          <w:color w:val="000000"/>
          <w:sz w:val="27"/>
          <w:szCs w:val="27"/>
          <w:lang w:val="en-GB"/>
        </w:rPr>
        <w:t>Abstract</w:t>
      </w:r>
    </w:p>
    <w:p w:rsidR="00090B8A" w:rsidRPr="00090B8A" w:rsidRDefault="00090B8A" w:rsidP="00090B8A">
      <w:pPr>
        <w:pStyle w:val="NormalWeb"/>
        <w:rPr>
          <w:color w:val="000000"/>
          <w:sz w:val="27"/>
          <w:szCs w:val="27"/>
          <w:lang w:val="en-GB"/>
        </w:rPr>
      </w:pPr>
      <w:r w:rsidRPr="00090B8A">
        <w:rPr>
          <w:color w:val="000000"/>
          <w:sz w:val="27"/>
          <w:szCs w:val="27"/>
          <w:lang w:val="en-GB"/>
        </w:rPr>
        <w:t xml:space="preserve">Purpose: Safety data on commonly used multiherbal products (MHP) and marketed in Ghana is scarce. We assessed sub-chronic toxicity of three most-patronized commercial antimalarial MHPs in Kumasi, Ghana. Method: Top-three MHPs (marked HPA, HPB and HPC) were selected after a mini-survey and sub-chronic toxicity evaluation conducted in accordance with OECD 407 guidelines. Control rats received clean water while test groups received daily adult human dose (DAHD), 5xDAHD or 10xDAHD of either HPA, HPB or HPC for 30 days. Rats were sacrificed on day 31 to obtain biochemical, haematology and histology samples for analysis. Data was analysed by one-way ANOVA and post hoc Turkey’s test. Results: All MHPs produced alterations in liver morphology predominantly characterized by prominent foci of fatty changes, scattered hepatocytes with intracytoplasmic fat globules and congestion of central veins and sinusoids. Delicate alveolar with evidence of inflammation and foci of sloughing within rat airway were observed. Alveolar spaces were obscured by debris and inflammatory cells. HPA and HPC produced mild toxicity with scattered intensely congested heart vessels. </w:t>
      </w:r>
      <w:proofErr w:type="gramStart"/>
      <w:r w:rsidRPr="00090B8A">
        <w:rPr>
          <w:color w:val="000000"/>
          <w:sz w:val="27"/>
          <w:szCs w:val="27"/>
          <w:lang w:val="en-GB"/>
        </w:rPr>
        <w:t>HPB(</w:t>
      </w:r>
      <w:proofErr w:type="gramEnd"/>
      <w:r w:rsidRPr="00090B8A">
        <w:rPr>
          <w:color w:val="000000"/>
          <w:sz w:val="27"/>
          <w:szCs w:val="27"/>
          <w:lang w:val="en-GB"/>
        </w:rPr>
        <w:t>10) produced moderate cardiac toxicity with evidence of haemorrhage and amorphous exudates. Conclusion: We advise cautious use of these products and further safety evaluation in chronic toxicity models is recommended.</w:t>
      </w:r>
    </w:p>
    <w:p w:rsidR="00090B8A" w:rsidRPr="00090B8A" w:rsidRDefault="00090B8A" w:rsidP="00090B8A">
      <w:pPr>
        <w:pStyle w:val="NormalWeb"/>
        <w:rPr>
          <w:color w:val="000000"/>
          <w:sz w:val="27"/>
          <w:szCs w:val="27"/>
          <w:lang w:val="en-GB"/>
        </w:rPr>
      </w:pPr>
      <w:r w:rsidRPr="00090B8A">
        <w:rPr>
          <w:color w:val="000000"/>
          <w:sz w:val="27"/>
          <w:szCs w:val="27"/>
          <w:lang w:val="en-GB"/>
        </w:rPr>
        <w:t>Keywords: Surveillance, inflammation, haemolysis, safety, histology, haematology, biochemical, impaired, congestion</w:t>
      </w:r>
    </w:p>
    <w:p w:rsidR="00214E12" w:rsidRPr="00090B8A" w:rsidRDefault="00A901AA">
      <w:pPr>
        <w:rPr>
          <w:lang w:val="en-GB"/>
        </w:rPr>
      </w:pPr>
    </w:p>
    <w:sectPr w:rsidR="00214E12" w:rsidRPr="00090B8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B8A"/>
    <w:rsid w:val="00090B8A"/>
    <w:rsid w:val="009742B1"/>
    <w:rsid w:val="00974903"/>
    <w:rsid w:val="00A901A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8207"/>
  <w15:chartTrackingRefBased/>
  <w15:docId w15:val="{635CE53D-E900-49FF-A446-100F25EA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B8A"/>
    <w:pPr>
      <w:spacing w:before="100" w:beforeAutospacing="1" w:after="100" w:afterAutospacing="1" w:line="240" w:lineRule="auto"/>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280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189</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A.-Mensah</dc:creator>
  <cp:keywords/>
  <dc:description/>
  <cp:lastModifiedBy>Frank A.-Mensah</cp:lastModifiedBy>
  <cp:revision>2</cp:revision>
  <dcterms:created xsi:type="dcterms:W3CDTF">2019-07-11T15:27:00Z</dcterms:created>
  <dcterms:modified xsi:type="dcterms:W3CDTF">2019-07-11T15:30:00Z</dcterms:modified>
</cp:coreProperties>
</file>