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239" w:rsidRDefault="00AC0239" w:rsidP="00AC0239">
      <w:pPr>
        <w:autoSpaceDE w:val="0"/>
        <w:autoSpaceDN w:val="0"/>
        <w:adjustRightInd w:val="0"/>
        <w:spacing w:after="0" w:line="480" w:lineRule="auto"/>
        <w:jc w:val="both"/>
        <w:rPr>
          <w:rFonts w:ascii="Times New Roman" w:hAnsi="Times New Roman"/>
          <w:b/>
          <w:i/>
          <w:sz w:val="24"/>
          <w:szCs w:val="24"/>
        </w:rPr>
      </w:pPr>
      <w:r w:rsidRPr="00067A2F">
        <w:rPr>
          <w:rFonts w:ascii="Times New Roman" w:hAnsi="Times New Roman"/>
          <w:bCs/>
          <w:sz w:val="24"/>
          <w:szCs w:val="24"/>
        </w:rPr>
        <w:t>Poisoning cases and their management at emergency centre of government hospitals in northwest Ethiopia</w:t>
      </w:r>
    </w:p>
    <w:p w:rsidR="00AC0239" w:rsidRPr="00067A2F" w:rsidRDefault="00AC0239" w:rsidP="00AC0239">
      <w:pPr>
        <w:autoSpaceDE w:val="0"/>
        <w:autoSpaceDN w:val="0"/>
        <w:adjustRightInd w:val="0"/>
        <w:spacing w:after="0" w:line="480" w:lineRule="auto"/>
        <w:jc w:val="both"/>
        <w:rPr>
          <w:rFonts w:ascii="Times New Roman" w:hAnsi="Times New Roman"/>
          <w:i/>
          <w:sz w:val="24"/>
          <w:szCs w:val="24"/>
        </w:rPr>
      </w:pPr>
      <w:r w:rsidRPr="00067A2F">
        <w:rPr>
          <w:rFonts w:ascii="Times New Roman" w:hAnsi="Times New Roman"/>
          <w:b/>
          <w:i/>
          <w:sz w:val="24"/>
          <w:szCs w:val="24"/>
        </w:rPr>
        <w:t>Authors</w:t>
      </w:r>
    </w:p>
    <w:p w:rsidR="00AC0239" w:rsidRPr="00067A2F" w:rsidRDefault="00AC0239" w:rsidP="00AC0239">
      <w:pPr>
        <w:spacing w:line="480" w:lineRule="auto"/>
        <w:jc w:val="both"/>
        <w:rPr>
          <w:rFonts w:ascii="Times New Roman" w:hAnsi="Times New Roman"/>
          <w:sz w:val="24"/>
          <w:szCs w:val="24"/>
          <w:vertAlign w:val="superscript"/>
        </w:rPr>
      </w:pPr>
      <w:proofErr w:type="gramStart"/>
      <w:r w:rsidRPr="00067A2F">
        <w:rPr>
          <w:rFonts w:ascii="Times New Roman" w:hAnsi="Times New Roman"/>
          <w:sz w:val="24"/>
          <w:szCs w:val="24"/>
        </w:rPr>
        <w:t>Getnet Mequanint Adinew</w:t>
      </w:r>
      <w:r w:rsidRPr="00067A2F">
        <w:rPr>
          <w:rFonts w:ascii="Times New Roman" w:hAnsi="Times New Roman"/>
          <w:sz w:val="24"/>
          <w:szCs w:val="24"/>
          <w:vertAlign w:val="superscript"/>
        </w:rPr>
        <w:t>1*,</w:t>
      </w:r>
      <w:r w:rsidRPr="00067A2F">
        <w:rPr>
          <w:rFonts w:ascii="Times New Roman" w:hAnsi="Times New Roman"/>
          <w:sz w:val="24"/>
          <w:szCs w:val="24"/>
        </w:rPr>
        <w:t xml:space="preserve"> Mohammed </w:t>
      </w:r>
      <w:proofErr w:type="spellStart"/>
      <w:r w:rsidRPr="00067A2F">
        <w:rPr>
          <w:rFonts w:ascii="Times New Roman" w:hAnsi="Times New Roman"/>
          <w:sz w:val="24"/>
          <w:szCs w:val="24"/>
        </w:rPr>
        <w:t>Birhan</w:t>
      </w:r>
      <w:proofErr w:type="spellEnd"/>
      <w:r w:rsidRPr="00067A2F">
        <w:rPr>
          <w:rFonts w:ascii="Times New Roman" w:hAnsi="Times New Roman"/>
          <w:sz w:val="24"/>
          <w:szCs w:val="24"/>
        </w:rPr>
        <w:t xml:space="preserve"> Abdulwahib</w:t>
      </w:r>
      <w:r w:rsidRPr="00067A2F">
        <w:rPr>
          <w:rFonts w:ascii="Times New Roman" w:hAnsi="Times New Roman"/>
          <w:sz w:val="24"/>
          <w:szCs w:val="24"/>
          <w:vertAlign w:val="superscript"/>
        </w:rPr>
        <w:t>1</w:t>
      </w:r>
      <w:r w:rsidRPr="00067A2F">
        <w:rPr>
          <w:rFonts w:ascii="Times New Roman" w:hAnsi="Times New Roman"/>
          <w:sz w:val="24"/>
          <w:szCs w:val="24"/>
        </w:rPr>
        <w:t xml:space="preserve">, </w:t>
      </w:r>
      <w:proofErr w:type="spellStart"/>
      <w:r w:rsidRPr="00067A2F">
        <w:rPr>
          <w:rFonts w:ascii="Times New Roman" w:hAnsi="Times New Roman"/>
          <w:sz w:val="24"/>
          <w:szCs w:val="24"/>
        </w:rPr>
        <w:t>Asegedech</w:t>
      </w:r>
      <w:proofErr w:type="spellEnd"/>
      <w:r w:rsidRPr="00067A2F">
        <w:rPr>
          <w:rFonts w:ascii="Times New Roman" w:hAnsi="Times New Roman"/>
          <w:sz w:val="24"/>
          <w:szCs w:val="24"/>
        </w:rPr>
        <w:t xml:space="preserve"> </w:t>
      </w:r>
      <w:proofErr w:type="spellStart"/>
      <w:r w:rsidRPr="00067A2F">
        <w:rPr>
          <w:rFonts w:ascii="Times New Roman" w:hAnsi="Times New Roman"/>
          <w:sz w:val="24"/>
          <w:szCs w:val="24"/>
        </w:rPr>
        <w:t>Tsegaw</w:t>
      </w:r>
      <w:proofErr w:type="spellEnd"/>
      <w:r w:rsidRPr="00067A2F">
        <w:rPr>
          <w:rFonts w:ascii="Times New Roman" w:hAnsi="Times New Roman"/>
          <w:sz w:val="24"/>
          <w:szCs w:val="24"/>
        </w:rPr>
        <w:t xml:space="preserve"> Woredekal</w:t>
      </w:r>
      <w:r w:rsidRPr="00067A2F">
        <w:rPr>
          <w:rFonts w:ascii="Times New Roman" w:hAnsi="Times New Roman"/>
          <w:sz w:val="24"/>
          <w:szCs w:val="24"/>
          <w:vertAlign w:val="superscript"/>
        </w:rPr>
        <w:t xml:space="preserve">1, </w:t>
      </w:r>
      <w:proofErr w:type="spellStart"/>
      <w:r w:rsidRPr="00067A2F">
        <w:rPr>
          <w:rFonts w:ascii="Times New Roman" w:hAnsi="Times New Roman"/>
          <w:sz w:val="24"/>
          <w:szCs w:val="24"/>
        </w:rPr>
        <w:t>ElizabethL</w:t>
      </w:r>
      <w:proofErr w:type="spellEnd"/>
      <w:r w:rsidRPr="00067A2F">
        <w:rPr>
          <w:rFonts w:ascii="Times New Roman" w:hAnsi="Times New Roman"/>
          <w:sz w:val="24"/>
          <w:szCs w:val="24"/>
        </w:rPr>
        <w:t>.</w:t>
      </w:r>
      <w:proofErr w:type="gramEnd"/>
      <w:r w:rsidRPr="00067A2F">
        <w:rPr>
          <w:rFonts w:ascii="Times New Roman" w:hAnsi="Times New Roman"/>
          <w:sz w:val="24"/>
          <w:szCs w:val="24"/>
        </w:rPr>
        <w:t xml:space="preserve"> DeVos</w:t>
      </w:r>
      <w:r w:rsidRPr="00067A2F">
        <w:rPr>
          <w:rFonts w:ascii="Times New Roman" w:hAnsi="Times New Roman"/>
          <w:sz w:val="24"/>
          <w:szCs w:val="24"/>
          <w:vertAlign w:val="superscript"/>
        </w:rPr>
        <w:t>2</w:t>
      </w:r>
      <w:r w:rsidRPr="00067A2F">
        <w:rPr>
          <w:rFonts w:ascii="Times New Roman" w:hAnsi="Times New Roman"/>
          <w:sz w:val="24"/>
          <w:szCs w:val="24"/>
        </w:rPr>
        <w:t xml:space="preserve">, </w:t>
      </w:r>
      <w:proofErr w:type="spellStart"/>
      <w:r w:rsidRPr="00067A2F">
        <w:rPr>
          <w:rFonts w:ascii="Times New Roman" w:hAnsi="Times New Roman"/>
          <w:sz w:val="24"/>
          <w:szCs w:val="24"/>
        </w:rPr>
        <w:t>Eshetie</w:t>
      </w:r>
      <w:proofErr w:type="spellEnd"/>
      <w:r w:rsidRPr="00067A2F">
        <w:rPr>
          <w:rFonts w:ascii="Times New Roman" w:hAnsi="Times New Roman"/>
          <w:sz w:val="24"/>
          <w:szCs w:val="24"/>
        </w:rPr>
        <w:t xml:space="preserve"> </w:t>
      </w:r>
      <w:proofErr w:type="spellStart"/>
      <w:r w:rsidRPr="00067A2F">
        <w:rPr>
          <w:rFonts w:ascii="Times New Roman" w:hAnsi="Times New Roman"/>
          <w:sz w:val="24"/>
          <w:szCs w:val="24"/>
        </w:rPr>
        <w:t>Melese</w:t>
      </w:r>
      <w:proofErr w:type="spellEnd"/>
      <w:r w:rsidRPr="00067A2F">
        <w:rPr>
          <w:rFonts w:ascii="Times New Roman" w:hAnsi="Times New Roman"/>
          <w:sz w:val="24"/>
          <w:szCs w:val="24"/>
        </w:rPr>
        <w:t xml:space="preserve"> Biru</w:t>
      </w:r>
      <w:r w:rsidRPr="00067A2F">
        <w:rPr>
          <w:rFonts w:ascii="Times New Roman" w:hAnsi="Times New Roman"/>
          <w:sz w:val="24"/>
          <w:szCs w:val="24"/>
          <w:vertAlign w:val="superscript"/>
        </w:rPr>
        <w:t>1</w:t>
      </w:r>
    </w:p>
    <w:p w:rsidR="00AC0239" w:rsidRPr="00067A2F" w:rsidRDefault="00AC0239" w:rsidP="00AC0239">
      <w:pPr>
        <w:spacing w:line="480" w:lineRule="auto"/>
        <w:jc w:val="both"/>
        <w:rPr>
          <w:rFonts w:ascii="Times New Roman" w:hAnsi="Times New Roman"/>
          <w:b/>
          <w:i/>
          <w:sz w:val="24"/>
          <w:szCs w:val="24"/>
        </w:rPr>
      </w:pPr>
      <w:r w:rsidRPr="00067A2F">
        <w:rPr>
          <w:rFonts w:ascii="Times New Roman" w:hAnsi="Times New Roman"/>
          <w:b/>
          <w:i/>
          <w:sz w:val="24"/>
          <w:szCs w:val="24"/>
        </w:rPr>
        <w:t>Affiliations and addresses of the authors</w:t>
      </w:r>
    </w:p>
    <w:p w:rsidR="00AC0239" w:rsidRPr="00067A2F" w:rsidRDefault="00AC0239" w:rsidP="00AC0239">
      <w:pPr>
        <w:autoSpaceDE w:val="0"/>
        <w:autoSpaceDN w:val="0"/>
        <w:adjustRightInd w:val="0"/>
        <w:spacing w:after="0" w:line="480" w:lineRule="auto"/>
        <w:jc w:val="both"/>
        <w:rPr>
          <w:rFonts w:ascii="Times New Roman" w:hAnsi="Times New Roman"/>
          <w:sz w:val="24"/>
          <w:szCs w:val="24"/>
        </w:rPr>
      </w:pPr>
      <w:r w:rsidRPr="00067A2F">
        <w:rPr>
          <w:rFonts w:ascii="Times New Roman" w:hAnsi="Times New Roman"/>
          <w:sz w:val="24"/>
          <w:szCs w:val="24"/>
        </w:rPr>
        <w:t>1 University of Gondar, College of Medicine and Health Science, School of Pharmacy, Department of Pharmacology, Gondar, Ethiopia</w:t>
      </w:r>
    </w:p>
    <w:p w:rsidR="00AC0239" w:rsidRPr="00067A2F" w:rsidRDefault="00AC0239" w:rsidP="00AC0239">
      <w:pPr>
        <w:autoSpaceDE w:val="0"/>
        <w:autoSpaceDN w:val="0"/>
        <w:adjustRightInd w:val="0"/>
        <w:spacing w:after="0" w:line="480" w:lineRule="auto"/>
        <w:jc w:val="both"/>
        <w:rPr>
          <w:rFonts w:ascii="Times New Roman" w:hAnsi="Times New Roman"/>
          <w:sz w:val="24"/>
          <w:szCs w:val="24"/>
        </w:rPr>
      </w:pPr>
      <w:r w:rsidRPr="00067A2F">
        <w:rPr>
          <w:rFonts w:ascii="Times New Roman" w:hAnsi="Times New Roman"/>
          <w:sz w:val="24"/>
          <w:szCs w:val="24"/>
        </w:rPr>
        <w:t>2 University of Florida College of Medicine-Jacksonville, Department of Emergency Medicine, 655 W.8</w:t>
      </w:r>
      <w:r w:rsidRPr="00067A2F">
        <w:rPr>
          <w:rFonts w:ascii="Times New Roman" w:hAnsi="Times New Roman"/>
          <w:sz w:val="24"/>
          <w:szCs w:val="24"/>
          <w:vertAlign w:val="superscript"/>
        </w:rPr>
        <w:t>th</w:t>
      </w:r>
      <w:r w:rsidRPr="00067A2F">
        <w:rPr>
          <w:rFonts w:ascii="Times New Roman" w:hAnsi="Times New Roman"/>
          <w:sz w:val="24"/>
          <w:szCs w:val="24"/>
        </w:rPr>
        <w:t xml:space="preserve"> Street, Jacksonville, Florida 32209 USA.</w:t>
      </w:r>
    </w:p>
    <w:p w:rsidR="00AC0239" w:rsidRDefault="00AC0239" w:rsidP="00AC0239">
      <w:pPr>
        <w:autoSpaceDE w:val="0"/>
        <w:autoSpaceDN w:val="0"/>
        <w:adjustRightInd w:val="0"/>
        <w:spacing w:after="0" w:line="480" w:lineRule="auto"/>
        <w:jc w:val="both"/>
        <w:rPr>
          <w:rFonts w:ascii="Times New Roman" w:eastAsia="Calibri" w:hAnsi="Times New Roman"/>
          <w:b/>
        </w:rPr>
      </w:pPr>
    </w:p>
    <w:p w:rsidR="00AC0239" w:rsidRPr="00067A2F" w:rsidRDefault="00AC0239" w:rsidP="00AC0239">
      <w:pPr>
        <w:autoSpaceDE w:val="0"/>
        <w:autoSpaceDN w:val="0"/>
        <w:adjustRightInd w:val="0"/>
        <w:spacing w:after="0" w:line="480" w:lineRule="auto"/>
        <w:jc w:val="both"/>
        <w:rPr>
          <w:rFonts w:ascii="Times New Roman" w:eastAsia="Calibri" w:hAnsi="Times New Roman"/>
          <w:b/>
        </w:rPr>
      </w:pPr>
      <w:r w:rsidRPr="00067A2F">
        <w:rPr>
          <w:rFonts w:ascii="Times New Roman" w:eastAsia="Calibri" w:hAnsi="Times New Roman"/>
          <w:b/>
        </w:rPr>
        <w:t>ABSTRACT</w:t>
      </w:r>
    </w:p>
    <w:p w:rsidR="00AC0239" w:rsidRPr="00067A2F" w:rsidRDefault="00AC0239" w:rsidP="00AC0239">
      <w:pPr>
        <w:autoSpaceDE w:val="0"/>
        <w:autoSpaceDN w:val="0"/>
        <w:adjustRightInd w:val="0"/>
        <w:spacing w:after="0" w:line="480" w:lineRule="auto"/>
        <w:jc w:val="both"/>
        <w:rPr>
          <w:rFonts w:ascii="Times New Roman" w:eastAsia="Calibri" w:hAnsi="Times New Roman"/>
          <w:i/>
        </w:rPr>
      </w:pPr>
      <w:r w:rsidRPr="00067A2F">
        <w:rPr>
          <w:rFonts w:ascii="Times New Roman" w:eastAsia="Calibri" w:hAnsi="Times New Roman"/>
          <w:i/>
        </w:rPr>
        <w:t>Background</w:t>
      </w:r>
    </w:p>
    <w:p w:rsidR="00AC0239" w:rsidRPr="00067A2F" w:rsidRDefault="00AC0239" w:rsidP="00AC0239">
      <w:pPr>
        <w:autoSpaceDE w:val="0"/>
        <w:autoSpaceDN w:val="0"/>
        <w:adjustRightInd w:val="0"/>
        <w:spacing w:after="0" w:line="480" w:lineRule="auto"/>
        <w:jc w:val="both"/>
        <w:rPr>
          <w:rFonts w:ascii="Times New Roman" w:hAnsi="Times New Roman"/>
        </w:rPr>
      </w:pPr>
      <w:r w:rsidRPr="00067A2F">
        <w:rPr>
          <w:rFonts w:ascii="Times New Roman" w:eastAsia="Calibri" w:hAnsi="Times New Roman"/>
        </w:rPr>
        <w:t xml:space="preserve">With the widespread availability of a vast number of chemicals and drugs, acute poisoning is a common medical emergency worldwide. </w:t>
      </w:r>
      <w:r w:rsidRPr="00067A2F">
        <w:rPr>
          <w:rFonts w:ascii="Times New Roman" w:hAnsi="Times New Roman"/>
        </w:rPr>
        <w:t>In spite of the success of some interventions to prevent toxic ingestions, acute poisoning continues to be an important public health problem. Because of weak regulations and limited health care services in developing countries adverse outcomes from poisoning are more prevalent than in the developed world. Due to the limited Ethiopian literature on this topic, the primary objective of this study was to evaluate and report on poisoning cases, management and outcome in northwest Ethiopia.</w:t>
      </w:r>
    </w:p>
    <w:p w:rsidR="00AC0239" w:rsidRPr="00067A2F" w:rsidRDefault="00AC0239" w:rsidP="00AC0239">
      <w:pPr>
        <w:autoSpaceDE w:val="0"/>
        <w:autoSpaceDN w:val="0"/>
        <w:adjustRightInd w:val="0"/>
        <w:spacing w:after="0" w:line="480" w:lineRule="auto"/>
        <w:jc w:val="both"/>
        <w:rPr>
          <w:rFonts w:ascii="Times New Roman" w:hAnsi="Times New Roman"/>
          <w:i/>
        </w:rPr>
      </w:pPr>
      <w:r w:rsidRPr="00067A2F">
        <w:rPr>
          <w:rFonts w:ascii="Times New Roman" w:hAnsi="Times New Roman"/>
          <w:i/>
        </w:rPr>
        <w:t>Methods</w:t>
      </w:r>
    </w:p>
    <w:p w:rsidR="00AC0239" w:rsidRPr="00067A2F" w:rsidRDefault="00AC0239" w:rsidP="00AC0239">
      <w:pPr>
        <w:autoSpaceDE w:val="0"/>
        <w:autoSpaceDN w:val="0"/>
        <w:adjustRightInd w:val="0"/>
        <w:spacing w:after="0" w:line="480" w:lineRule="auto"/>
        <w:jc w:val="both"/>
        <w:rPr>
          <w:rFonts w:ascii="Times New Roman" w:hAnsi="Times New Roman"/>
        </w:rPr>
      </w:pPr>
      <w:r w:rsidRPr="00067A2F">
        <w:rPr>
          <w:rFonts w:ascii="Times New Roman" w:hAnsi="Times New Roman"/>
        </w:rPr>
        <w:t xml:space="preserve">This is a retrospective study of all poisoning cases admitted and managed in the emergency centre of Gondar teaching referral hospital and </w:t>
      </w:r>
      <w:proofErr w:type="spellStart"/>
      <w:r w:rsidRPr="00067A2F">
        <w:rPr>
          <w:rFonts w:ascii="Times New Roman" w:hAnsi="Times New Roman"/>
        </w:rPr>
        <w:t>Metema</w:t>
      </w:r>
      <w:proofErr w:type="spellEnd"/>
      <w:r w:rsidRPr="00067A2F">
        <w:rPr>
          <w:rFonts w:ascii="Times New Roman" w:hAnsi="Times New Roman"/>
        </w:rPr>
        <w:t xml:space="preserve"> and Debark district hospitals, from September 2010 to December 2014. Data was collected through retrospective chart review of patients who were admitted due to poisoning.</w:t>
      </w:r>
    </w:p>
    <w:p w:rsidR="00AC0239" w:rsidRPr="00067A2F" w:rsidRDefault="00AC0239" w:rsidP="00AC0239">
      <w:pPr>
        <w:autoSpaceDE w:val="0"/>
        <w:autoSpaceDN w:val="0"/>
        <w:adjustRightInd w:val="0"/>
        <w:spacing w:after="0" w:line="480" w:lineRule="auto"/>
        <w:jc w:val="both"/>
        <w:rPr>
          <w:rFonts w:ascii="Times New Roman" w:hAnsi="Times New Roman"/>
          <w:i/>
        </w:rPr>
      </w:pPr>
      <w:r w:rsidRPr="00067A2F">
        <w:rPr>
          <w:rFonts w:ascii="Times New Roman" w:hAnsi="Times New Roman"/>
          <w:i/>
        </w:rPr>
        <w:lastRenderedPageBreak/>
        <w:t>Results</w:t>
      </w:r>
    </w:p>
    <w:p w:rsidR="00AC0239" w:rsidRPr="00067A2F" w:rsidRDefault="00AC0239" w:rsidP="00AC0239">
      <w:pPr>
        <w:widowControl w:val="0"/>
        <w:overflowPunct w:val="0"/>
        <w:autoSpaceDE w:val="0"/>
        <w:autoSpaceDN w:val="0"/>
        <w:adjustRightInd w:val="0"/>
        <w:spacing w:after="0" w:line="480" w:lineRule="auto"/>
        <w:jc w:val="both"/>
        <w:rPr>
          <w:rFonts w:ascii="Times New Roman" w:hAnsi="Times New Roman"/>
        </w:rPr>
      </w:pPr>
      <w:r w:rsidRPr="00067A2F">
        <w:rPr>
          <w:rFonts w:ascii="Times New Roman" w:hAnsi="Times New Roman"/>
        </w:rPr>
        <w:t xml:space="preserve">There were 543 registered poisoning cases listed in the registry during the study period, of which344 cases (63.4 %) had complete data and were included in the final analysis. There were 48,619 emergency centre visits during the study period with poisoning cases accounting for 1.1%. Females (60%) were predominant among intentional as well as unintentional poisoning cases. Patients between 15 to 24 years old accounted for 55% of cases. Patients with pesticide poisoning and bleaching agent poisoning accounted for 35% and 25%, respectively.  Among the poisoning patients, 74% were treated with decontamination (gastric lavage and charcoal), 21.5% received specific antidotes. </w:t>
      </w:r>
    </w:p>
    <w:p w:rsidR="00AC0239" w:rsidRPr="00067A2F" w:rsidRDefault="00AC0239" w:rsidP="00AC0239">
      <w:pPr>
        <w:autoSpaceDE w:val="0"/>
        <w:autoSpaceDN w:val="0"/>
        <w:adjustRightInd w:val="0"/>
        <w:spacing w:after="0" w:line="480" w:lineRule="auto"/>
        <w:rPr>
          <w:rFonts w:ascii="Times New Roman" w:hAnsi="Times New Roman"/>
          <w:i/>
        </w:rPr>
      </w:pPr>
      <w:r w:rsidRPr="00067A2F">
        <w:rPr>
          <w:rFonts w:ascii="Times New Roman" w:hAnsi="Times New Roman"/>
          <w:i/>
        </w:rPr>
        <w:t>Conclusion</w:t>
      </w:r>
    </w:p>
    <w:p w:rsidR="00AC0239" w:rsidRPr="00067A2F" w:rsidRDefault="00AC0239" w:rsidP="00AC0239">
      <w:pPr>
        <w:widowControl w:val="0"/>
        <w:tabs>
          <w:tab w:val="num" w:pos="800"/>
        </w:tabs>
        <w:overflowPunct w:val="0"/>
        <w:autoSpaceDE w:val="0"/>
        <w:autoSpaceDN w:val="0"/>
        <w:adjustRightInd w:val="0"/>
        <w:spacing w:after="0" w:line="480" w:lineRule="auto"/>
        <w:rPr>
          <w:rFonts w:ascii="Times New Roman" w:hAnsi="Times New Roman"/>
          <w:i/>
        </w:rPr>
      </w:pPr>
      <w:r w:rsidRPr="00067A2F">
        <w:rPr>
          <w:rFonts w:ascii="Times New Roman" w:hAnsi="Times New Roman"/>
        </w:rPr>
        <w:t>Young females comprise a group at increased risk for suicidal poisonings.  As a developing nation, pesticide and bleaching agents remain a significant cause of acute poisonings in Ethiopia. Intentional poisoning remains the most significant identified cause of poisoning overall.</w:t>
      </w:r>
    </w:p>
    <w:p w:rsidR="00AC0239" w:rsidRDefault="00AC0239" w:rsidP="00AC0239">
      <w:pPr>
        <w:widowControl w:val="0"/>
        <w:tabs>
          <w:tab w:val="num" w:pos="800"/>
        </w:tabs>
        <w:overflowPunct w:val="0"/>
        <w:autoSpaceDE w:val="0"/>
        <w:autoSpaceDN w:val="0"/>
        <w:adjustRightInd w:val="0"/>
        <w:spacing w:after="0" w:line="480" w:lineRule="auto"/>
        <w:rPr>
          <w:rFonts w:ascii="Times New Roman" w:hAnsi="Times New Roman"/>
        </w:rPr>
      </w:pPr>
      <w:r w:rsidRPr="00067A2F">
        <w:rPr>
          <w:rFonts w:ascii="Times New Roman" w:hAnsi="Times New Roman"/>
          <w:i/>
          <w:sz w:val="24"/>
          <w:szCs w:val="24"/>
        </w:rPr>
        <w:t>Key Words:</w:t>
      </w:r>
      <w:r w:rsidRPr="00067A2F">
        <w:rPr>
          <w:rFonts w:ascii="Times New Roman" w:hAnsi="Times New Roman"/>
        </w:rPr>
        <w:t xml:space="preserve"> drug overdose, inhalation exposure, ingestion organophosphorus, Poisons</w:t>
      </w:r>
    </w:p>
    <w:p w:rsidR="00962BDB" w:rsidRDefault="00962BDB"/>
    <w:sectPr w:rsidR="00962BDB" w:rsidSect="00962B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compat/>
  <w:rsids>
    <w:rsidRoot w:val="00AC0239"/>
    <w:rsid w:val="00064728"/>
    <w:rsid w:val="00151981"/>
    <w:rsid w:val="001E5853"/>
    <w:rsid w:val="002B5625"/>
    <w:rsid w:val="003D167F"/>
    <w:rsid w:val="004D5021"/>
    <w:rsid w:val="006F5A80"/>
    <w:rsid w:val="00703A0C"/>
    <w:rsid w:val="008B5909"/>
    <w:rsid w:val="00962BDB"/>
    <w:rsid w:val="00997553"/>
    <w:rsid w:val="009F61AD"/>
    <w:rsid w:val="00A46BA1"/>
    <w:rsid w:val="00A92DD2"/>
    <w:rsid w:val="00AB660B"/>
    <w:rsid w:val="00AC0239"/>
    <w:rsid w:val="00D427E8"/>
    <w:rsid w:val="00E56A27"/>
    <w:rsid w:val="00FA75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239"/>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2198</Characters>
  <Application>Microsoft Office Word</Application>
  <DocSecurity>0</DocSecurity>
  <Lines>18</Lines>
  <Paragraphs>5</Paragraphs>
  <ScaleCrop>false</ScaleCrop>
  <Company/>
  <LinksUpToDate>false</LinksUpToDate>
  <CharactersWithSpaces>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2017-06-15T09:44:00Z</dcterms:created>
  <dcterms:modified xsi:type="dcterms:W3CDTF">2017-06-15T09:45:00Z</dcterms:modified>
</cp:coreProperties>
</file>