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122" w:rsidRPr="00EA2740" w:rsidRDefault="00E41122" w:rsidP="00E41122">
      <w:pPr>
        <w:spacing w:after="480"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</w:rPr>
      </w:pPr>
      <w:r w:rsidRPr="00EA2740">
        <w:rPr>
          <w:rFonts w:ascii="Times New Roman" w:eastAsia="Times New Roman" w:hAnsi="Times New Roman" w:cs="Times New Roman"/>
          <w:b/>
          <w:color w:val="000000" w:themeColor="text1"/>
          <w:sz w:val="24"/>
        </w:rPr>
        <w:t xml:space="preserve">Abstract </w:t>
      </w:r>
    </w:p>
    <w:p w:rsidR="00E41122" w:rsidRDefault="00E41122" w:rsidP="00E41122">
      <w:pPr>
        <w:autoSpaceDE w:val="0"/>
        <w:autoSpaceDN w:val="0"/>
        <w:adjustRightInd w:val="0"/>
        <w:snapToGrid w:val="0"/>
        <w:spacing w:after="48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rtl/>
        </w:rPr>
      </w:pPr>
      <w:r w:rsidRPr="00016291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Purpose</w:t>
      </w:r>
      <w:r w:rsidRPr="0001629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The present study aimed to determine linear </w:t>
      </w:r>
      <w:proofErr w:type="spellStart"/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>alkylbenzenes</w:t>
      </w:r>
      <w:proofErr w:type="spellEnd"/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(LABs) concentrations (molecular marker for sewage pollution) in the sediment samples collected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from Coast of Port Dickson and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Kim </w:t>
      </w:r>
      <w:proofErr w:type="spellStart"/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>Kim</w:t>
      </w:r>
      <w:proofErr w:type="spellEnd"/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River, Peninsular Malaysia. </w:t>
      </w:r>
    </w:p>
    <w:p w:rsidR="00E41122" w:rsidRDefault="00E41122" w:rsidP="00E41122">
      <w:pPr>
        <w:autoSpaceDE w:val="0"/>
        <w:autoSpaceDN w:val="0"/>
        <w:adjustRightInd w:val="0"/>
        <w:snapToGrid w:val="0"/>
        <w:spacing w:after="48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rtl/>
        </w:rPr>
      </w:pPr>
      <w:r w:rsidRPr="004376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en-GB"/>
        </w:rPr>
        <w:t>Materials and methods</w:t>
      </w:r>
      <w:r>
        <w:rPr>
          <w:rFonts w:ascii="Times New Roman" w:eastAsia="Times New Roman" w:hAnsi="Times New Roman" w:cs="Times New Roman"/>
          <w:color w:val="000000" w:themeColor="text1"/>
          <w:sz w:val="24"/>
          <w:lang w:val="en-GB"/>
        </w:rPr>
        <w:t xml:space="preserve"> 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>The sediments were processed; their sources were identified and tested by gas chromatography mass spectrometry (GC-MS).  LABs indices which include internal to external (I/E)</w:t>
      </w:r>
      <w:r w:rsidRPr="008C791C"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congeners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>, long to short chains L/S and homologs C</w:t>
      </w:r>
      <w:r w:rsidRPr="008C791C">
        <w:rPr>
          <w:rFonts w:ascii="Times New Roman" w:eastAsia="Times New Roman" w:hAnsi="Times New Roman" w:cs="Times New Roman"/>
          <w:color w:val="000000" w:themeColor="text1"/>
          <w:sz w:val="24"/>
          <w:vertAlign w:val="subscript"/>
        </w:rPr>
        <w:t>13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>/C</w:t>
      </w:r>
      <w:r w:rsidRPr="008C791C">
        <w:rPr>
          <w:rFonts w:ascii="Times New Roman" w:eastAsia="Times New Roman" w:hAnsi="Times New Roman" w:cs="Times New Roman"/>
          <w:color w:val="000000" w:themeColor="text1"/>
          <w:sz w:val="24"/>
          <w:vertAlign w:val="subscript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were used to identify the sewage treatment and degradation levels. </w:t>
      </w:r>
    </w:p>
    <w:p w:rsidR="00E41122" w:rsidRDefault="00E41122" w:rsidP="00E41122">
      <w:pPr>
        <w:autoSpaceDE w:val="0"/>
        <w:autoSpaceDN w:val="0"/>
        <w:adjustRightInd w:val="0"/>
        <w:snapToGrid w:val="0"/>
        <w:spacing w:after="48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rtl/>
        </w:rPr>
      </w:pPr>
      <w:r w:rsidRPr="004376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en-GB"/>
        </w:rPr>
        <w:t>Results and discussion</w:t>
      </w:r>
      <w:r>
        <w:rPr>
          <w:rFonts w:ascii="Times New Roman" w:eastAsia="Times New Roman" w:hAnsi="Times New Roman" w:cs="Times New Roman"/>
          <w:color w:val="000000" w:themeColor="text1"/>
          <w:sz w:val="24"/>
          <w:lang w:val="en-GB"/>
        </w:rPr>
        <w:t xml:space="preserve"> 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Results of this study are presented that the range of ΣLABs concentration </w:t>
      </w:r>
      <w:r w:rsidRPr="002938B8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in the investigated locations 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was between 112.0; 88.3 and 256.0; 119.0 ng∙g−1 </w:t>
      </w:r>
      <w:proofErr w:type="spellStart"/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>dw</w:t>
      </w:r>
      <w:proofErr w:type="spellEnd"/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, respectively. The calculated LAB ratios (I/E) were within the range between 2.0; 1.7 and 4.1, 2.0, demonstrated that, the treated effluents from primary and secondary sources were discharged to the study areas. The degradation of LABs was 40 - 64% and 34 - 38% in the studied locations. </w:t>
      </w:r>
    </w:p>
    <w:p w:rsidR="00E41122" w:rsidRDefault="00E41122" w:rsidP="00E41122">
      <w:pPr>
        <w:autoSpaceDE w:val="0"/>
        <w:autoSpaceDN w:val="0"/>
        <w:adjustRightInd w:val="0"/>
        <w:snapToGrid w:val="0"/>
        <w:spacing w:after="48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376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en-GB"/>
        </w:rPr>
        <w:t>Conclusions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en-GB"/>
        </w:rPr>
        <w:t xml:space="preserve"> </w:t>
      </w:r>
      <w:r w:rsidRPr="009C2DC5">
        <w:rPr>
          <w:rFonts w:ascii="Times New Roman" w:eastAsia="Times New Roman" w:hAnsi="Times New Roman" w:cs="Times New Roman"/>
          <w:color w:val="000000" w:themeColor="text1"/>
          <w:sz w:val="24"/>
        </w:rPr>
        <w:t>The findings of this study suggested the powerfully indicators of LABs in tracing anthropogenic sewage contamination and the necessity of continuing wastewater treatment system improvement.</w:t>
      </w:r>
    </w:p>
    <w:p w:rsidR="00775F2C" w:rsidRDefault="00775F2C">
      <w:bookmarkStart w:id="0" w:name="_GoBack"/>
      <w:bookmarkEnd w:id="0"/>
    </w:p>
    <w:sectPr w:rsidR="00775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22"/>
    <w:rsid w:val="00775F2C"/>
    <w:rsid w:val="00E4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F24C3E-B617-4B6E-AC3F-5FF070E0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122"/>
    <w:rPr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uthm2018</dc:creator>
  <cp:keywords/>
  <dc:description/>
  <cp:lastModifiedBy>uthm2018</cp:lastModifiedBy>
  <cp:revision>1</cp:revision>
  <dcterms:created xsi:type="dcterms:W3CDTF">2021-10-14T10:03:00Z</dcterms:created>
  <dcterms:modified xsi:type="dcterms:W3CDTF">2021-10-14T10:03:00Z</dcterms:modified>
</cp:coreProperties>
</file>