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921" w:rsidRPr="004C4FF0" w:rsidRDefault="00241921" w:rsidP="00241921">
      <w:pPr>
        <w:spacing w:after="0" w:line="240" w:lineRule="auto"/>
        <w:jc w:val="center"/>
        <w:rPr>
          <w:rFonts w:asciiTheme="minorBidi" w:hAnsiTheme="minorBidi"/>
          <w:b/>
          <w:bCs/>
          <w:sz w:val="28"/>
          <w:szCs w:val="28"/>
          <w:lang w:val="en-US"/>
        </w:rPr>
      </w:pPr>
      <w:r>
        <w:rPr>
          <w:rFonts w:asciiTheme="minorBidi" w:hAnsiTheme="minorBidi"/>
          <w:b/>
          <w:bCs/>
          <w:sz w:val="28"/>
          <w:szCs w:val="28"/>
          <w:lang w:val="en-US"/>
        </w:rPr>
        <w:t>Prediction</w:t>
      </w:r>
      <w:r w:rsidRPr="004C4FF0">
        <w:rPr>
          <w:rFonts w:asciiTheme="minorBidi" w:hAnsiTheme="minorBidi"/>
          <w:b/>
          <w:bCs/>
          <w:sz w:val="28"/>
          <w:szCs w:val="28"/>
          <w:lang w:val="en-US"/>
        </w:rPr>
        <w:t xml:space="preserve"> of bioavailability, </w:t>
      </w:r>
      <w:proofErr w:type="spellStart"/>
      <w:r w:rsidRPr="004C4FF0">
        <w:rPr>
          <w:rFonts w:asciiTheme="minorBidi" w:hAnsiTheme="minorBidi"/>
          <w:b/>
          <w:bCs/>
          <w:sz w:val="28"/>
          <w:szCs w:val="28"/>
          <w:lang w:val="en-US"/>
        </w:rPr>
        <w:t>druggability</w:t>
      </w:r>
      <w:proofErr w:type="spellEnd"/>
      <w:r w:rsidRPr="004C4FF0">
        <w:rPr>
          <w:rFonts w:asciiTheme="minorBidi" w:hAnsiTheme="minorBidi"/>
          <w:b/>
          <w:bCs/>
          <w:sz w:val="28"/>
          <w:szCs w:val="28"/>
          <w:lang w:val="en-US"/>
        </w:rPr>
        <w:t xml:space="preserve">, </w:t>
      </w:r>
      <w:r>
        <w:rPr>
          <w:rFonts w:asciiTheme="minorBidi" w:hAnsiTheme="minorBidi"/>
          <w:b/>
          <w:bCs/>
          <w:sz w:val="28"/>
          <w:szCs w:val="28"/>
          <w:lang w:val="en-US"/>
        </w:rPr>
        <w:t>and toxicity</w:t>
      </w:r>
    </w:p>
    <w:p w:rsidR="00241921" w:rsidRPr="004C4FF0" w:rsidRDefault="00241921" w:rsidP="00241921">
      <w:pPr>
        <w:spacing w:line="240" w:lineRule="auto"/>
        <w:jc w:val="center"/>
        <w:rPr>
          <w:rFonts w:asciiTheme="minorBidi" w:hAnsiTheme="minorBidi"/>
          <w:b/>
          <w:bCs/>
          <w:sz w:val="28"/>
          <w:szCs w:val="28"/>
          <w:lang w:val="en-US"/>
        </w:rPr>
      </w:pPr>
      <w:proofErr w:type="gramStart"/>
      <w:r>
        <w:rPr>
          <w:rFonts w:asciiTheme="minorBidi" w:hAnsiTheme="minorBidi"/>
          <w:b/>
          <w:bCs/>
          <w:sz w:val="28"/>
          <w:szCs w:val="28"/>
          <w:lang w:val="en-US"/>
        </w:rPr>
        <w:t>o</w:t>
      </w:r>
      <w:r w:rsidRPr="004C4FF0">
        <w:rPr>
          <w:rFonts w:asciiTheme="minorBidi" w:hAnsiTheme="minorBidi"/>
          <w:b/>
          <w:bCs/>
          <w:sz w:val="28"/>
          <w:szCs w:val="28"/>
          <w:lang w:val="en-US"/>
        </w:rPr>
        <w:t>f</w:t>
      </w:r>
      <w:proofErr w:type="gramEnd"/>
      <w:r w:rsidRPr="004C4FF0">
        <w:rPr>
          <w:rFonts w:asciiTheme="minorBidi" w:hAnsiTheme="minorBidi"/>
          <w:b/>
          <w:bCs/>
          <w:sz w:val="28"/>
          <w:szCs w:val="28"/>
          <w:lang w:val="en-US"/>
        </w:rPr>
        <w:t xml:space="preserve"> </w:t>
      </w:r>
      <w:r>
        <w:rPr>
          <w:rFonts w:asciiTheme="minorBidi" w:hAnsiTheme="minorBidi"/>
          <w:b/>
          <w:bCs/>
          <w:sz w:val="28"/>
          <w:szCs w:val="28"/>
          <w:lang w:val="en-US"/>
        </w:rPr>
        <w:t>fatty acids</w:t>
      </w:r>
    </w:p>
    <w:p w:rsidR="00241921" w:rsidRPr="003D088C" w:rsidRDefault="00241921" w:rsidP="00241921">
      <w:pPr>
        <w:spacing w:line="240" w:lineRule="auto"/>
        <w:jc w:val="center"/>
        <w:rPr>
          <w:rFonts w:asciiTheme="majorBidi" w:hAnsiTheme="majorBidi" w:cstheme="majorBidi"/>
          <w:b/>
          <w:bCs/>
          <w:lang w:val="en-US"/>
        </w:rPr>
      </w:pPr>
      <w:proofErr w:type="spellStart"/>
      <w:r w:rsidRPr="00AC49B8">
        <w:rPr>
          <w:rFonts w:asciiTheme="majorBidi" w:hAnsiTheme="majorBidi" w:cstheme="majorBidi"/>
          <w:b/>
          <w:bCs/>
          <w:sz w:val="20"/>
          <w:szCs w:val="20"/>
          <w:lang w:val="en-US"/>
        </w:rPr>
        <w:t>Hayat</w:t>
      </w:r>
      <w:proofErr w:type="spellEnd"/>
      <w:r w:rsidRPr="00AC49B8">
        <w:rPr>
          <w:rFonts w:asciiTheme="majorBidi" w:hAnsiTheme="majorBidi" w:cstheme="majorBidi"/>
          <w:b/>
          <w:bCs/>
          <w:sz w:val="20"/>
          <w:szCs w:val="20"/>
          <w:lang w:val="en-US"/>
        </w:rPr>
        <w:t xml:space="preserve"> ELHARAFI</w:t>
      </w:r>
      <w:r w:rsidRPr="00AC49B8">
        <w:rPr>
          <w:rFonts w:asciiTheme="majorBidi" w:hAnsiTheme="majorBidi" w:cstheme="majorBidi"/>
          <w:b/>
          <w:bCs/>
          <w:sz w:val="20"/>
          <w:szCs w:val="20"/>
          <w:vertAlign w:val="superscript"/>
          <w:lang w:val="en-US"/>
        </w:rPr>
        <w:t>1</w:t>
      </w:r>
      <w:r w:rsidRPr="00AC49B8">
        <w:rPr>
          <w:rFonts w:asciiTheme="majorBidi" w:hAnsiTheme="majorBidi" w:cstheme="majorBidi"/>
          <w:b/>
          <w:bCs/>
          <w:sz w:val="20"/>
          <w:szCs w:val="20"/>
          <w:lang w:val="en-US"/>
        </w:rPr>
        <w:t xml:space="preserve">, </w:t>
      </w:r>
      <w:proofErr w:type="spellStart"/>
      <w:r w:rsidRPr="00AC49B8">
        <w:rPr>
          <w:rFonts w:asciiTheme="majorBidi" w:hAnsiTheme="majorBidi" w:cstheme="majorBidi"/>
          <w:b/>
          <w:bCs/>
          <w:sz w:val="20"/>
          <w:szCs w:val="20"/>
          <w:lang w:val="en-US"/>
        </w:rPr>
        <w:t>Naoual</w:t>
      </w:r>
      <w:proofErr w:type="spellEnd"/>
      <w:r w:rsidRPr="00AC49B8">
        <w:rPr>
          <w:rFonts w:asciiTheme="majorBidi" w:hAnsiTheme="majorBidi" w:cstheme="majorBidi"/>
          <w:b/>
          <w:bCs/>
          <w:sz w:val="20"/>
          <w:szCs w:val="20"/>
          <w:lang w:val="en-US"/>
        </w:rPr>
        <w:t xml:space="preserve"> ELHAMDANI</w:t>
      </w:r>
      <w:r w:rsidRPr="00AC49B8">
        <w:rPr>
          <w:rFonts w:asciiTheme="majorBidi" w:hAnsiTheme="majorBidi" w:cstheme="majorBidi"/>
          <w:b/>
          <w:bCs/>
          <w:sz w:val="20"/>
          <w:szCs w:val="20"/>
          <w:vertAlign w:val="superscript"/>
          <w:lang w:val="en-US"/>
        </w:rPr>
        <w:t>1</w:t>
      </w:r>
      <w:r w:rsidRPr="00AC49B8">
        <w:rPr>
          <w:rFonts w:asciiTheme="majorBidi" w:hAnsiTheme="majorBidi" w:cstheme="majorBidi"/>
          <w:b/>
          <w:bCs/>
          <w:sz w:val="20"/>
          <w:szCs w:val="20"/>
          <w:lang w:val="en-US"/>
        </w:rPr>
        <w:t xml:space="preserve">, </w:t>
      </w:r>
      <w:proofErr w:type="spellStart"/>
      <w:r w:rsidRPr="00AC49B8">
        <w:rPr>
          <w:rFonts w:asciiTheme="majorBidi" w:hAnsiTheme="majorBidi" w:cstheme="majorBidi"/>
          <w:b/>
          <w:bCs/>
          <w:sz w:val="20"/>
          <w:szCs w:val="20"/>
          <w:lang w:val="en-US"/>
        </w:rPr>
        <w:t>Hajar</w:t>
      </w:r>
      <w:proofErr w:type="spellEnd"/>
      <w:r w:rsidRPr="00AC49B8">
        <w:rPr>
          <w:rFonts w:asciiTheme="majorBidi" w:hAnsiTheme="majorBidi" w:cstheme="majorBidi"/>
          <w:b/>
          <w:bCs/>
          <w:sz w:val="20"/>
          <w:szCs w:val="20"/>
          <w:lang w:val="en-US"/>
        </w:rPr>
        <w:t xml:space="preserve"> TEBBAAI</w:t>
      </w:r>
      <w:r w:rsidRPr="00AC49B8">
        <w:rPr>
          <w:rFonts w:asciiTheme="majorBidi" w:hAnsiTheme="majorBidi" w:cstheme="majorBidi"/>
          <w:b/>
          <w:bCs/>
          <w:sz w:val="20"/>
          <w:szCs w:val="20"/>
          <w:vertAlign w:val="superscript"/>
          <w:lang w:val="en-US"/>
        </w:rPr>
        <w:t>2</w:t>
      </w:r>
      <w:r w:rsidRPr="00AC49B8">
        <w:rPr>
          <w:rFonts w:asciiTheme="majorBidi" w:hAnsiTheme="majorBidi" w:cstheme="majorBidi"/>
          <w:b/>
          <w:bCs/>
          <w:sz w:val="20"/>
          <w:szCs w:val="20"/>
          <w:lang w:val="en-US"/>
        </w:rPr>
        <w:t xml:space="preserve">, Aziz ABOULMOUHAJIR </w:t>
      </w:r>
      <w:r w:rsidRPr="00AC49B8">
        <w:rPr>
          <w:rFonts w:asciiTheme="majorBidi" w:hAnsiTheme="majorBidi" w:cstheme="majorBidi"/>
          <w:b/>
          <w:bCs/>
          <w:sz w:val="20"/>
          <w:szCs w:val="20"/>
          <w:vertAlign w:val="superscript"/>
          <w:lang w:val="en-US"/>
        </w:rPr>
        <w:t>1</w:t>
      </w:r>
      <w:proofErr w:type="gramStart"/>
      <w:r w:rsidRPr="00AC49B8">
        <w:rPr>
          <w:rFonts w:asciiTheme="majorBidi" w:hAnsiTheme="majorBidi" w:cstheme="majorBidi"/>
          <w:b/>
          <w:bCs/>
          <w:sz w:val="20"/>
          <w:szCs w:val="20"/>
          <w:vertAlign w:val="superscript"/>
          <w:lang w:val="en-US"/>
        </w:rPr>
        <w:t>,2</w:t>
      </w:r>
      <w:proofErr w:type="gramEnd"/>
      <w:r w:rsidRPr="00AC49B8">
        <w:rPr>
          <w:rFonts w:asciiTheme="majorBidi" w:hAnsiTheme="majorBidi" w:cstheme="majorBidi"/>
          <w:b/>
          <w:bCs/>
          <w:sz w:val="20"/>
          <w:szCs w:val="20"/>
          <w:vertAlign w:val="superscript"/>
          <w:lang w:val="en-US"/>
        </w:rPr>
        <w:t>*</w:t>
      </w:r>
    </w:p>
    <w:p w:rsidR="00241921" w:rsidRPr="003D088C" w:rsidRDefault="00241921" w:rsidP="00241921">
      <w:pPr>
        <w:spacing w:line="240" w:lineRule="auto"/>
        <w:jc w:val="center"/>
        <w:rPr>
          <w:rFonts w:asciiTheme="majorBidi" w:hAnsiTheme="majorBidi" w:cstheme="majorBidi"/>
          <w:sz w:val="20"/>
          <w:szCs w:val="20"/>
          <w:lang w:val="en-US"/>
        </w:rPr>
      </w:pPr>
      <w:proofErr w:type="gramStart"/>
      <w:r w:rsidRPr="003D088C">
        <w:rPr>
          <w:rFonts w:asciiTheme="majorBidi" w:hAnsiTheme="majorBidi" w:cstheme="majorBidi"/>
          <w:sz w:val="20"/>
          <w:szCs w:val="20"/>
          <w:vertAlign w:val="superscript"/>
          <w:lang w:val="en-US"/>
        </w:rPr>
        <w:t>1</w:t>
      </w:r>
      <w:r w:rsidRPr="003D088C">
        <w:rPr>
          <w:rFonts w:asciiTheme="majorBidi" w:hAnsiTheme="majorBidi" w:cstheme="majorBidi"/>
          <w:sz w:val="20"/>
          <w:szCs w:val="20"/>
          <w:lang w:val="en-US"/>
        </w:rPr>
        <w:t xml:space="preserve">Team of Molecular </w:t>
      </w:r>
      <w:proofErr w:type="spellStart"/>
      <w:r w:rsidRPr="003D088C">
        <w:rPr>
          <w:rFonts w:asciiTheme="majorBidi" w:hAnsiTheme="majorBidi" w:cstheme="majorBidi"/>
          <w:sz w:val="20"/>
          <w:szCs w:val="20"/>
          <w:lang w:val="en-US"/>
        </w:rPr>
        <w:t>Modelling</w:t>
      </w:r>
      <w:proofErr w:type="spellEnd"/>
      <w:r w:rsidRPr="003D088C">
        <w:rPr>
          <w:rFonts w:asciiTheme="majorBidi" w:hAnsiTheme="majorBidi" w:cstheme="majorBidi"/>
          <w:sz w:val="20"/>
          <w:szCs w:val="20"/>
          <w:lang w:val="en-US"/>
        </w:rPr>
        <w:t xml:space="preserve"> and Spectroscopy, Sciences Faculty, University of </w:t>
      </w:r>
      <w:proofErr w:type="spellStart"/>
      <w:r w:rsidRPr="003D088C">
        <w:rPr>
          <w:rFonts w:asciiTheme="majorBidi" w:hAnsiTheme="majorBidi" w:cstheme="majorBidi"/>
          <w:sz w:val="20"/>
          <w:szCs w:val="20"/>
          <w:lang w:val="en-US"/>
        </w:rPr>
        <w:t>Chouaib</w:t>
      </w:r>
      <w:proofErr w:type="spellEnd"/>
      <w:r w:rsidRPr="003D088C">
        <w:rPr>
          <w:rFonts w:asciiTheme="majorBidi" w:hAnsiTheme="majorBidi" w:cstheme="majorBidi"/>
          <w:sz w:val="20"/>
          <w:szCs w:val="20"/>
          <w:lang w:val="en-US"/>
        </w:rPr>
        <w:t xml:space="preserve"> </w:t>
      </w:r>
      <w:proofErr w:type="spellStart"/>
      <w:r w:rsidRPr="003D088C">
        <w:rPr>
          <w:rFonts w:asciiTheme="majorBidi" w:hAnsiTheme="majorBidi" w:cstheme="majorBidi"/>
          <w:sz w:val="20"/>
          <w:szCs w:val="20"/>
          <w:lang w:val="en-US"/>
        </w:rPr>
        <w:t>Doukkali</w:t>
      </w:r>
      <w:proofErr w:type="spellEnd"/>
      <w:r w:rsidRPr="003D088C">
        <w:rPr>
          <w:rFonts w:asciiTheme="majorBidi" w:hAnsiTheme="majorBidi" w:cstheme="majorBidi"/>
          <w:sz w:val="20"/>
          <w:szCs w:val="20"/>
          <w:lang w:val="en-US"/>
        </w:rPr>
        <w:t>,</w:t>
      </w:r>
      <w:r>
        <w:rPr>
          <w:rFonts w:asciiTheme="majorBidi" w:hAnsiTheme="majorBidi" w:cstheme="majorBidi"/>
          <w:sz w:val="20"/>
          <w:szCs w:val="20"/>
          <w:lang w:val="en-US"/>
        </w:rPr>
        <w:t xml:space="preserve"> </w:t>
      </w:r>
      <w:r w:rsidRPr="003D088C">
        <w:rPr>
          <w:rFonts w:asciiTheme="majorBidi" w:hAnsiTheme="majorBidi" w:cstheme="majorBidi"/>
          <w:sz w:val="20"/>
          <w:szCs w:val="20"/>
          <w:lang w:val="en-US"/>
        </w:rPr>
        <w:t>Morocco.</w:t>
      </w:r>
      <w:proofErr w:type="gramEnd"/>
    </w:p>
    <w:p w:rsidR="00241921" w:rsidRPr="004C4FF0" w:rsidRDefault="00241921" w:rsidP="00241921">
      <w:pPr>
        <w:spacing w:after="0" w:line="240" w:lineRule="auto"/>
        <w:jc w:val="center"/>
        <w:rPr>
          <w:rFonts w:asciiTheme="majorBidi" w:hAnsiTheme="majorBidi" w:cstheme="majorBidi"/>
          <w:sz w:val="20"/>
          <w:szCs w:val="20"/>
          <w:vertAlign w:val="superscript"/>
          <w:lang w:val="en-US"/>
        </w:rPr>
      </w:pPr>
      <w:r w:rsidRPr="003D088C">
        <w:rPr>
          <w:rFonts w:asciiTheme="majorBidi" w:hAnsiTheme="majorBidi" w:cstheme="majorBidi"/>
          <w:sz w:val="20"/>
          <w:szCs w:val="20"/>
          <w:vertAlign w:val="superscript"/>
          <w:lang w:val="en-US"/>
        </w:rPr>
        <w:t xml:space="preserve">2 </w:t>
      </w:r>
      <w:r w:rsidRPr="003D088C">
        <w:rPr>
          <w:rFonts w:asciiTheme="majorBidi" w:hAnsiTheme="majorBidi" w:cstheme="majorBidi"/>
          <w:sz w:val="20"/>
          <w:szCs w:val="20"/>
          <w:lang w:val="en-US"/>
        </w:rPr>
        <w:t>Organic synthesis, Extraction and Valorization laboratory, Team of Extraction, Spectroscopy and</w:t>
      </w:r>
      <w:r>
        <w:rPr>
          <w:rFonts w:asciiTheme="majorBidi" w:hAnsiTheme="majorBidi" w:cstheme="majorBidi"/>
          <w:sz w:val="20"/>
          <w:szCs w:val="20"/>
          <w:vertAlign w:val="superscript"/>
          <w:lang w:val="en-US"/>
        </w:rPr>
        <w:t xml:space="preserve"> </w:t>
      </w:r>
      <w:r w:rsidRPr="003D088C">
        <w:rPr>
          <w:rFonts w:asciiTheme="majorBidi" w:hAnsiTheme="majorBidi" w:cstheme="majorBidi"/>
          <w:sz w:val="20"/>
          <w:szCs w:val="20"/>
          <w:lang w:val="en-US"/>
        </w:rPr>
        <w:t xml:space="preserve">Valorization, Sciences Faculty of </w:t>
      </w:r>
      <w:proofErr w:type="spellStart"/>
      <w:r w:rsidRPr="003D088C">
        <w:rPr>
          <w:rFonts w:asciiTheme="majorBidi" w:hAnsiTheme="majorBidi" w:cstheme="majorBidi"/>
          <w:sz w:val="20"/>
          <w:szCs w:val="20"/>
          <w:lang w:val="en-US"/>
        </w:rPr>
        <w:t>Ain</w:t>
      </w:r>
      <w:proofErr w:type="spellEnd"/>
      <w:r w:rsidRPr="003D088C">
        <w:rPr>
          <w:rFonts w:asciiTheme="majorBidi" w:hAnsiTheme="majorBidi" w:cstheme="majorBidi"/>
          <w:sz w:val="20"/>
          <w:szCs w:val="20"/>
          <w:lang w:val="en-US"/>
        </w:rPr>
        <w:t xml:space="preserve"> Chock, University of Hassan II, Morocco.</w:t>
      </w:r>
    </w:p>
    <w:p w:rsidR="00241921" w:rsidRDefault="00241921" w:rsidP="00241921">
      <w:pPr>
        <w:spacing w:before="240" w:line="240" w:lineRule="auto"/>
        <w:jc w:val="center"/>
        <w:rPr>
          <w:rFonts w:asciiTheme="majorBidi" w:hAnsiTheme="majorBidi" w:cstheme="majorBidi"/>
          <w:sz w:val="20"/>
          <w:szCs w:val="20"/>
          <w:lang w:val="en-US"/>
        </w:rPr>
      </w:pPr>
      <w:r w:rsidRPr="003D088C">
        <w:rPr>
          <w:rFonts w:asciiTheme="majorBidi" w:hAnsiTheme="majorBidi" w:cstheme="majorBidi"/>
          <w:sz w:val="20"/>
          <w:szCs w:val="20"/>
          <w:lang w:val="en-US"/>
        </w:rPr>
        <w:t xml:space="preserve">*Corresponding author: </w:t>
      </w:r>
      <w:hyperlink r:id="rId4" w:history="1">
        <w:r w:rsidRPr="00CC610E">
          <w:rPr>
            <w:rStyle w:val="Lienhypertexte"/>
            <w:rFonts w:asciiTheme="majorBidi" w:hAnsiTheme="majorBidi" w:cstheme="majorBidi"/>
            <w:sz w:val="20"/>
            <w:szCs w:val="20"/>
            <w:lang w:val="en-US"/>
          </w:rPr>
          <w:t>aboulmouhajir@gmail.com</w:t>
        </w:r>
      </w:hyperlink>
    </w:p>
    <w:p w:rsidR="00241921" w:rsidRPr="003D088C" w:rsidRDefault="00241921" w:rsidP="00241921">
      <w:pPr>
        <w:spacing w:before="240" w:line="240" w:lineRule="auto"/>
        <w:jc w:val="center"/>
        <w:rPr>
          <w:rFonts w:asciiTheme="majorBidi" w:hAnsiTheme="majorBidi" w:cstheme="majorBidi"/>
          <w:sz w:val="20"/>
          <w:szCs w:val="20"/>
          <w:lang w:val="en-US"/>
        </w:rPr>
      </w:pPr>
    </w:p>
    <w:p w:rsidR="00241921" w:rsidRPr="00AC49B8" w:rsidRDefault="00241921" w:rsidP="00241921">
      <w:pPr>
        <w:spacing w:before="240" w:line="240" w:lineRule="auto"/>
        <w:jc w:val="both"/>
        <w:rPr>
          <w:b/>
          <w:bCs/>
          <w:sz w:val="24"/>
          <w:szCs w:val="24"/>
          <w:u w:val="single"/>
          <w:lang w:val="en-US"/>
        </w:rPr>
      </w:pPr>
      <w:r w:rsidRPr="00AC49B8">
        <w:rPr>
          <w:b/>
          <w:bCs/>
          <w:sz w:val="24"/>
          <w:szCs w:val="24"/>
          <w:u w:val="single"/>
          <w:lang w:val="en-US"/>
        </w:rPr>
        <w:t xml:space="preserve">Abstract: </w:t>
      </w:r>
    </w:p>
    <w:p w:rsidR="00241921" w:rsidRDefault="00241921" w:rsidP="00241921">
      <w:pPr>
        <w:spacing w:before="240"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4C4FF0">
        <w:rPr>
          <w:rFonts w:asciiTheme="majorBidi" w:hAnsiTheme="majorBidi" w:cstheme="majorBidi"/>
          <w:sz w:val="24"/>
          <w:szCs w:val="24"/>
          <w:lang w:val="en-US"/>
        </w:rPr>
        <w:t xml:space="preserve">The bioavailability and the respect of the "Lipinski Rules", the </w:t>
      </w:r>
      <w:proofErr w:type="spellStart"/>
      <w:r w:rsidRPr="004C4FF0">
        <w:rPr>
          <w:rFonts w:asciiTheme="majorBidi" w:hAnsiTheme="majorBidi" w:cstheme="majorBidi"/>
          <w:sz w:val="24"/>
          <w:szCs w:val="24"/>
          <w:lang w:val="en-US"/>
        </w:rPr>
        <w:t>drugability</w:t>
      </w:r>
      <w:proofErr w:type="spellEnd"/>
      <w:r w:rsidRPr="004C4FF0">
        <w:rPr>
          <w:rFonts w:asciiTheme="majorBidi" w:hAnsiTheme="majorBidi" w:cstheme="majorBidi"/>
          <w:sz w:val="24"/>
          <w:szCs w:val="24"/>
          <w:lang w:val="en-US"/>
        </w:rPr>
        <w:t xml:space="preserve"> of lipid molecules "fatty acids" has been approached via appropriate </w:t>
      </w:r>
      <w:proofErr w:type="spellStart"/>
      <w:r w:rsidRPr="004C4FF0">
        <w:rPr>
          <w:rFonts w:asciiTheme="majorBidi" w:hAnsiTheme="majorBidi" w:cstheme="majorBidi"/>
          <w:sz w:val="24"/>
          <w:szCs w:val="24"/>
          <w:lang w:val="en-US"/>
        </w:rPr>
        <w:t>chemoinformatics</w:t>
      </w:r>
      <w:proofErr w:type="spellEnd"/>
      <w:r w:rsidRPr="004C4FF0">
        <w:rPr>
          <w:rFonts w:asciiTheme="majorBidi" w:hAnsiTheme="majorBidi" w:cstheme="majorBidi"/>
          <w:sz w:val="24"/>
          <w:szCs w:val="24"/>
          <w:lang w:val="en-US"/>
        </w:rPr>
        <w:t xml:space="preserve"> methods. To this we are explored some physicochemical (partition coefficient, solubility, TPSA), general (DL) and specific </w:t>
      </w:r>
      <w:proofErr w:type="spellStart"/>
      <w:r w:rsidRPr="004C4FF0">
        <w:rPr>
          <w:rFonts w:asciiTheme="majorBidi" w:hAnsiTheme="majorBidi" w:cstheme="majorBidi"/>
          <w:sz w:val="24"/>
          <w:szCs w:val="24"/>
          <w:lang w:val="en-US"/>
        </w:rPr>
        <w:t>druglikeness</w:t>
      </w:r>
      <w:proofErr w:type="spellEnd"/>
      <w:r w:rsidRPr="004C4FF0">
        <w:rPr>
          <w:rFonts w:asciiTheme="majorBidi" w:hAnsiTheme="majorBidi" w:cstheme="majorBidi"/>
          <w:sz w:val="24"/>
          <w:szCs w:val="24"/>
          <w:lang w:val="en-US"/>
        </w:rPr>
        <w:t xml:space="preserve"> scores (GPCR, ICM, KI, NLR, PI and EI drug scores), </w:t>
      </w:r>
      <w:r>
        <w:rPr>
          <w:rFonts w:asciiTheme="majorBidi" w:hAnsiTheme="majorBidi" w:cstheme="majorBidi"/>
          <w:sz w:val="24"/>
          <w:szCs w:val="24"/>
          <w:lang w:val="en-US"/>
        </w:rPr>
        <w:t>and</w:t>
      </w:r>
      <w:r w:rsidRPr="00241921">
        <w:rPr>
          <w:rFonts w:asciiTheme="majorBidi" w:hAnsiTheme="majorBidi" w:cstheme="majorBidi"/>
          <w:sz w:val="24"/>
          <w:szCs w:val="24"/>
          <w:lang w:val="en-US"/>
        </w:rPr>
        <w:t xml:space="preserve"> toxicity risks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(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mutagenicity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,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tumorigenicity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, </w:t>
      </w:r>
      <w:r w:rsidRPr="00241921">
        <w:rPr>
          <w:rFonts w:asciiTheme="majorBidi" w:hAnsiTheme="majorBidi" w:cstheme="majorBidi"/>
          <w:sz w:val="24"/>
          <w:szCs w:val="24"/>
          <w:lang w:val="en-US"/>
        </w:rPr>
        <w:t>irritation and reproduction risks)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4C4FF0">
        <w:rPr>
          <w:rFonts w:asciiTheme="majorBidi" w:hAnsiTheme="majorBidi" w:cstheme="majorBidi"/>
          <w:sz w:val="24"/>
          <w:szCs w:val="24"/>
          <w:lang w:val="en-US"/>
        </w:rPr>
        <w:t>for a large series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4C4FF0">
        <w:rPr>
          <w:rFonts w:asciiTheme="majorBidi" w:hAnsiTheme="majorBidi" w:cstheme="majorBidi"/>
          <w:sz w:val="24"/>
          <w:szCs w:val="24"/>
          <w:lang w:val="en-US"/>
        </w:rPr>
        <w:t xml:space="preserve">of 47 fatty acids containing saturated fatty acids (24 SFA), monounsaturated fatty acids (11 MUFA) and polyunsaturated fatty acids (12 PUFA).  The results obtained have in </w:t>
      </w:r>
      <w:proofErr w:type="spellStart"/>
      <w:r w:rsidRPr="004C4FF0">
        <w:rPr>
          <w:rFonts w:asciiTheme="majorBidi" w:hAnsiTheme="majorBidi" w:cstheme="majorBidi"/>
          <w:sz w:val="24"/>
          <w:szCs w:val="24"/>
          <w:lang w:val="en-US"/>
        </w:rPr>
        <w:t>silico</w:t>
      </w:r>
      <w:proofErr w:type="spellEnd"/>
      <w:r w:rsidRPr="004C4FF0">
        <w:rPr>
          <w:rFonts w:asciiTheme="majorBidi" w:hAnsiTheme="majorBidi" w:cstheme="majorBidi"/>
          <w:sz w:val="24"/>
          <w:szCs w:val="24"/>
          <w:lang w:val="en-US"/>
        </w:rPr>
        <w:t xml:space="preserve"> clarified for each fatty acid its degree of bioavailability, </w:t>
      </w:r>
      <w:proofErr w:type="spellStart"/>
      <w:r w:rsidRPr="004C4FF0">
        <w:rPr>
          <w:rFonts w:asciiTheme="majorBidi" w:hAnsiTheme="majorBidi" w:cstheme="majorBidi"/>
          <w:sz w:val="24"/>
          <w:szCs w:val="24"/>
          <w:lang w:val="en-US"/>
        </w:rPr>
        <w:t>druggability</w:t>
      </w:r>
      <w:proofErr w:type="spellEnd"/>
      <w:r w:rsidRPr="004C4FF0">
        <w:rPr>
          <w:rFonts w:asciiTheme="majorBidi" w:hAnsiTheme="majorBidi" w:cstheme="majorBidi"/>
          <w:sz w:val="24"/>
          <w:szCs w:val="24"/>
          <w:lang w:val="en-US"/>
        </w:rPr>
        <w:t xml:space="preserve"> of its use therapeutically, cosmetically as well as nutritional product</w:t>
      </w:r>
      <w:r w:rsidRPr="00556BDC">
        <w:rPr>
          <w:rFonts w:asciiTheme="majorBidi" w:hAnsiTheme="majorBidi" w:cstheme="majorBidi"/>
          <w:sz w:val="24"/>
          <w:szCs w:val="24"/>
          <w:lang w:val="en-US"/>
        </w:rPr>
        <w:t>.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</w:p>
    <w:p w:rsidR="00241921" w:rsidRPr="00241921" w:rsidRDefault="00241921" w:rsidP="00241921">
      <w:pPr>
        <w:spacing w:before="240" w:line="240" w:lineRule="auto"/>
        <w:jc w:val="both"/>
        <w:rPr>
          <w:b/>
          <w:bCs/>
          <w:sz w:val="24"/>
          <w:szCs w:val="24"/>
          <w:u w:val="single"/>
          <w:lang w:val="en-US"/>
        </w:rPr>
      </w:pPr>
      <w:r w:rsidRPr="00241921">
        <w:rPr>
          <w:b/>
          <w:bCs/>
          <w:sz w:val="24"/>
          <w:szCs w:val="24"/>
          <w:u w:val="single"/>
          <w:lang w:val="en-US"/>
        </w:rPr>
        <w:t>References:</w:t>
      </w:r>
    </w:p>
    <w:p w:rsidR="00241921" w:rsidRPr="00241921" w:rsidRDefault="00241921" w:rsidP="00241921">
      <w:pPr>
        <w:widowControl w:val="0"/>
        <w:autoSpaceDE w:val="0"/>
        <w:autoSpaceDN w:val="0"/>
        <w:adjustRightInd w:val="0"/>
        <w:spacing w:line="240" w:lineRule="auto"/>
        <w:ind w:left="640" w:hanging="640"/>
        <w:jc w:val="both"/>
        <w:rPr>
          <w:rFonts w:ascii="Calibri" w:hAnsi="Calibri" w:cs="Times New Roman"/>
          <w:noProof/>
          <w:sz w:val="24"/>
          <w:szCs w:val="24"/>
          <w:lang w:val="en-US"/>
        </w:rPr>
      </w:pPr>
      <w:r>
        <w:rPr>
          <w:b/>
          <w:bCs/>
          <w:sz w:val="24"/>
          <w:szCs w:val="24"/>
          <w:u w:val="single"/>
        </w:rPr>
        <w:fldChar w:fldCharType="begin" w:fldLock="1"/>
      </w:r>
      <w:r w:rsidRPr="00241921">
        <w:rPr>
          <w:b/>
          <w:bCs/>
          <w:sz w:val="24"/>
          <w:szCs w:val="24"/>
          <w:u w:val="single"/>
          <w:lang w:val="en-US"/>
        </w:rPr>
        <w:instrText xml:space="preserve">ADDIN Mendeley Bibliography CSL_BIBLIOGRAPHY </w:instrText>
      </w:r>
      <w:r>
        <w:rPr>
          <w:b/>
          <w:bCs/>
          <w:sz w:val="24"/>
          <w:szCs w:val="24"/>
          <w:u w:val="single"/>
        </w:rPr>
        <w:fldChar w:fldCharType="separate"/>
      </w:r>
      <w:r w:rsidRPr="00241921">
        <w:rPr>
          <w:rFonts w:ascii="Calibri" w:hAnsi="Calibri" w:cs="Times New Roman"/>
          <w:noProof/>
          <w:sz w:val="24"/>
          <w:szCs w:val="24"/>
          <w:lang w:val="en-US"/>
        </w:rPr>
        <w:t>[1]</w:t>
      </w:r>
      <w:r w:rsidRPr="00241921">
        <w:rPr>
          <w:rFonts w:ascii="Calibri" w:hAnsi="Calibri" w:cs="Times New Roman"/>
          <w:noProof/>
          <w:sz w:val="24"/>
          <w:szCs w:val="24"/>
          <w:lang w:val="en-US"/>
        </w:rPr>
        <w:tab/>
        <w:t xml:space="preserve">H. Elharafi </w:t>
      </w:r>
      <w:r w:rsidRPr="00241921">
        <w:rPr>
          <w:rFonts w:ascii="Calibri" w:hAnsi="Calibri" w:cs="Times New Roman"/>
          <w:i/>
          <w:iCs/>
          <w:noProof/>
          <w:sz w:val="24"/>
          <w:szCs w:val="24"/>
          <w:lang w:val="en-US"/>
        </w:rPr>
        <w:t>et al.</w:t>
      </w:r>
      <w:r w:rsidRPr="00241921">
        <w:rPr>
          <w:rFonts w:ascii="Calibri" w:hAnsi="Calibri" w:cs="Times New Roman"/>
          <w:noProof/>
          <w:sz w:val="24"/>
          <w:szCs w:val="24"/>
          <w:lang w:val="en-US"/>
        </w:rPr>
        <w:t xml:space="preserve">, “In silico exploration of bioavailability, druggability, toxicity alerts and biological activity of a large series of fatty acids,” </w:t>
      </w:r>
      <w:r w:rsidRPr="00241921">
        <w:rPr>
          <w:rFonts w:ascii="Calibri" w:hAnsi="Calibri" w:cs="Times New Roman"/>
          <w:i/>
          <w:iCs/>
          <w:noProof/>
          <w:sz w:val="24"/>
          <w:szCs w:val="24"/>
          <w:lang w:val="en-US"/>
        </w:rPr>
        <w:t>Computational Toxicology</w:t>
      </w:r>
      <w:r w:rsidRPr="00241921">
        <w:rPr>
          <w:rFonts w:ascii="Calibri" w:hAnsi="Calibri" w:cs="Times New Roman"/>
          <w:noProof/>
          <w:sz w:val="24"/>
          <w:szCs w:val="24"/>
          <w:lang w:val="en-US"/>
        </w:rPr>
        <w:t>, vol. 17, p. 100153, Feb. 2021.</w:t>
      </w:r>
    </w:p>
    <w:p w:rsidR="00241921" w:rsidRPr="00241921" w:rsidRDefault="00241921" w:rsidP="00241921">
      <w:pPr>
        <w:widowControl w:val="0"/>
        <w:autoSpaceDE w:val="0"/>
        <w:autoSpaceDN w:val="0"/>
        <w:adjustRightInd w:val="0"/>
        <w:spacing w:line="240" w:lineRule="auto"/>
        <w:ind w:left="640" w:hanging="640"/>
        <w:jc w:val="both"/>
        <w:rPr>
          <w:rFonts w:ascii="Calibri" w:hAnsi="Calibri"/>
          <w:noProof/>
          <w:sz w:val="24"/>
          <w:lang w:val="en-US"/>
        </w:rPr>
      </w:pPr>
      <w:r w:rsidRPr="00241921">
        <w:rPr>
          <w:rFonts w:ascii="Calibri" w:hAnsi="Calibri" w:cs="Times New Roman"/>
          <w:noProof/>
          <w:sz w:val="24"/>
          <w:szCs w:val="24"/>
          <w:lang w:val="en-US"/>
        </w:rPr>
        <w:t>[2]</w:t>
      </w:r>
      <w:r w:rsidRPr="00241921">
        <w:rPr>
          <w:rFonts w:ascii="Calibri" w:hAnsi="Calibri" w:cs="Times New Roman"/>
          <w:noProof/>
          <w:sz w:val="24"/>
          <w:szCs w:val="24"/>
          <w:lang w:val="en-US"/>
        </w:rPr>
        <w:tab/>
        <w:t xml:space="preserve">A. Parvez </w:t>
      </w:r>
      <w:r w:rsidRPr="00241921">
        <w:rPr>
          <w:rFonts w:ascii="Calibri" w:hAnsi="Calibri" w:cs="Times New Roman"/>
          <w:i/>
          <w:iCs/>
          <w:noProof/>
          <w:sz w:val="24"/>
          <w:szCs w:val="24"/>
          <w:lang w:val="en-US"/>
        </w:rPr>
        <w:t>et al.</w:t>
      </w:r>
      <w:r w:rsidRPr="00241921">
        <w:rPr>
          <w:rFonts w:ascii="Calibri" w:hAnsi="Calibri" w:cs="Times New Roman"/>
          <w:noProof/>
          <w:sz w:val="24"/>
          <w:szCs w:val="24"/>
          <w:lang w:val="en-US"/>
        </w:rPr>
        <w:t xml:space="preserve">, “Pharmacophores modeling in terms of prediction of theoretical physico-chemical properties and verification by experimental correlations of novel coumarin derivatives produced via Betti’s protocol,” </w:t>
      </w:r>
      <w:r w:rsidRPr="00241921">
        <w:rPr>
          <w:rFonts w:ascii="Calibri" w:hAnsi="Calibri" w:cs="Times New Roman"/>
          <w:i/>
          <w:iCs/>
          <w:noProof/>
          <w:sz w:val="24"/>
          <w:szCs w:val="24"/>
          <w:lang w:val="en-US"/>
        </w:rPr>
        <w:t>European Journal of Medicinal Chemistry</w:t>
      </w:r>
      <w:r w:rsidRPr="00241921">
        <w:rPr>
          <w:rFonts w:ascii="Calibri" w:hAnsi="Calibri" w:cs="Times New Roman"/>
          <w:noProof/>
          <w:sz w:val="24"/>
          <w:szCs w:val="24"/>
          <w:lang w:val="en-US"/>
        </w:rPr>
        <w:t>, vol. 45, no. 9, pp. 4370–4378, 2010.</w:t>
      </w:r>
    </w:p>
    <w:p w:rsidR="009E4767" w:rsidRDefault="00241921" w:rsidP="00241921">
      <w:r>
        <w:rPr>
          <w:b/>
          <w:bCs/>
          <w:sz w:val="24"/>
          <w:szCs w:val="24"/>
          <w:u w:val="single"/>
        </w:rPr>
        <w:fldChar w:fldCharType="end"/>
      </w:r>
    </w:p>
    <w:sectPr w:rsidR="009E4767" w:rsidSect="009E47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compat/>
  <w:rsids>
    <w:rsidRoot w:val="00241921"/>
    <w:rsid w:val="00241921"/>
    <w:rsid w:val="009E47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192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2419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boulmouhajir@gmail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290</Words>
  <Characters>1601</Characters>
  <Application>Microsoft Office Word</Application>
  <DocSecurity>0</DocSecurity>
  <Lines>13</Lines>
  <Paragraphs>3</Paragraphs>
  <ScaleCrop>false</ScaleCrop>
  <Company/>
  <LinksUpToDate>false</LinksUpToDate>
  <CharactersWithSpaces>1888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settat</dc:creator>
  <cp:keywords/>
  <dc:description/>
  <cp:lastModifiedBy>settat</cp:lastModifiedBy>
  <cp:revision>2</cp:revision>
  <dcterms:created xsi:type="dcterms:W3CDTF">2021-06-20T15:58:00Z</dcterms:created>
  <dcterms:modified xsi:type="dcterms:W3CDTF">2021-06-20T16:02:00Z</dcterms:modified>
</cp:coreProperties>
</file>