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0E2C3E">
      <w:pPr>
        <w:pStyle w:val="1"/>
        <w:spacing w:before="170"/>
      </w:pPr>
      <w:r w:rsidRPr="000E2C3E">
        <w:rPr>
          <w:rFonts w:hint="eastAsia"/>
          <w:color w:val="337AB7"/>
          <w:lang w:val="it-IT"/>
        </w:rPr>
        <w:t>T</w:t>
      </w:r>
      <w:r w:rsidRPr="000E2C3E">
        <w:rPr>
          <w:color w:val="337AB7"/>
          <w:lang w:val="it-IT"/>
        </w:rPr>
        <w:t>he effectiveness of antibiotic-loaded bone cement for preventing postoperative infection</w:t>
      </w:r>
      <w:r w:rsidRPr="000E2C3E">
        <w:rPr>
          <w:rFonts w:hint="eastAsia"/>
          <w:color w:val="337AB7"/>
          <w:lang w:val="it-IT"/>
        </w:rPr>
        <w:t xml:space="preserve"> in patients </w:t>
      </w:r>
      <w:r w:rsidRPr="000E2C3E">
        <w:rPr>
          <w:color w:val="337AB7"/>
          <w:lang w:val="it-IT"/>
        </w:rPr>
        <w:t>undergoing total knee arthroplasty</w:t>
      </w:r>
      <w:r w:rsidRPr="000E2C3E">
        <w:rPr>
          <w:color w:val="337AB7"/>
        </w:rPr>
        <w:t xml:space="preserve"> </w:t>
      </w:r>
    </w:p>
    <w:p w:rsidR="00AE3E37" w:rsidRDefault="000E2C3E">
      <w:pPr>
        <w:pStyle w:val="a3"/>
        <w:spacing w:before="73" w:line="198" w:lineRule="exact"/>
        <w:ind w:left="100" w:right="5967"/>
        <w:rPr>
          <w:rFonts w:ascii="Arial"/>
        </w:rPr>
      </w:pPr>
      <w:r>
        <w:rPr>
          <w:rFonts w:ascii="Arial" w:eastAsiaTheme="minorEastAsia" w:hint="eastAsia"/>
          <w:lang w:eastAsia="zh-TW"/>
        </w:rPr>
        <w:t>Shu-Hui Wen</w:t>
      </w:r>
      <w:r w:rsidR="00A9710C">
        <w:rPr>
          <w:rFonts w:ascii="Arial"/>
        </w:rPr>
        <w:t xml:space="preserve">, PhD, </w:t>
      </w:r>
      <w:r>
        <w:rPr>
          <w:rFonts w:ascii="Arial" w:eastAsiaTheme="minorEastAsia" w:hint="eastAsia"/>
          <w:lang w:eastAsia="zh-TW"/>
        </w:rPr>
        <w:t>Tzu-Chi University</w:t>
      </w:r>
      <w:r w:rsidR="00A9710C">
        <w:rPr>
          <w:rFonts w:ascii="Arial"/>
        </w:rPr>
        <w:t xml:space="preserve">, </w:t>
      </w:r>
      <w:r>
        <w:rPr>
          <w:rFonts w:ascii="Arial" w:eastAsiaTheme="minorEastAsia" w:hint="eastAsia"/>
          <w:lang w:eastAsia="zh-TW"/>
        </w:rPr>
        <w:t>Taiwan</w:t>
      </w:r>
      <w:r w:rsidR="00A9710C">
        <w:rPr>
          <w:rFonts w:ascii="Arial"/>
        </w:rPr>
        <w:t xml:space="preserve"> </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sidRPr="00B10563">
        <w:rPr>
          <w:color w:val="BF5A14"/>
          <w:highlight w:val="yellow"/>
        </w:rPr>
        <w:lastRenderedPageBreak/>
        <w:t>Abstract</w:t>
      </w:r>
      <w:r w:rsidR="00404E5B" w:rsidRPr="00B10563">
        <w:rPr>
          <w:color w:val="BF5A14"/>
          <w:highlight w:val="yellow"/>
        </w:rPr>
        <w:t xml:space="preserve"> (300 word limit)</w:t>
      </w:r>
    </w:p>
    <w:p w:rsidR="00AE3E37" w:rsidRDefault="000E2C3E">
      <w:pPr>
        <w:pStyle w:val="a3"/>
        <w:spacing w:before="90" w:line="280" w:lineRule="auto"/>
        <w:ind w:left="100"/>
        <w:jc w:val="both"/>
      </w:pPr>
      <w:r w:rsidRPr="000E2C3E">
        <w:rPr>
          <w:lang w:val="it-IT"/>
        </w:rPr>
        <w:t>The study question focuses on the effectiveness of antibiotic-loaded bone cement (ALBC) for preventing postoperative infection</w:t>
      </w:r>
      <w:r w:rsidRPr="000E2C3E">
        <w:rPr>
          <w:rFonts w:hint="eastAsia"/>
          <w:lang w:val="it-IT"/>
        </w:rPr>
        <w:t xml:space="preserve"> </w:t>
      </w:r>
      <w:r w:rsidRPr="000E2C3E">
        <w:rPr>
          <w:lang w:val="it-IT"/>
        </w:rPr>
        <w:t>in patients undergoing total knee arthroplasty</w:t>
      </w:r>
      <w:r w:rsidRPr="000E2C3E">
        <w:rPr>
          <w:rFonts w:hint="eastAsia"/>
          <w:lang w:val="it-IT"/>
        </w:rPr>
        <w:t xml:space="preserve"> (TKA)</w:t>
      </w:r>
      <w:r w:rsidRPr="000E2C3E">
        <w:rPr>
          <w:lang w:val="it-IT"/>
        </w:rPr>
        <w:t>. Infection has remained being a rare but serious complication after TKA. However, the use of ALBC for reducing the occurrence of infection is debated. We used the National Inpatient Database, which was provided by National Health Research Institutes. We included 16,108 TKA adult patients between January and November, 2012. There were 5,605 patients (34.8%) using ALBC. The postoperative 30-day infection and acute renal failure were compared. We adopted multi-level logistic regression models to adjust for potential confounding factors</w:t>
      </w:r>
      <w:r w:rsidRPr="000E2C3E">
        <w:rPr>
          <w:rFonts w:hint="eastAsia"/>
          <w:lang w:val="it-IT"/>
        </w:rPr>
        <w:t xml:space="preserve"> with consideration of</w:t>
      </w:r>
      <w:r w:rsidRPr="000E2C3E">
        <w:rPr>
          <w:lang w:val="it-IT"/>
        </w:rPr>
        <w:t xml:space="preserve"> hospital levels (including medical centers, metropolitam hospitals, and local communitiy hospitals). The odds ratio (OR) of infection in ALBC use group and 95% confidence interval (CI) were estimated. The main compositions of ALBC were vancomycin (71.7%), followed by gentamicin (30.7%), and cefuroxime (12.4%). Among patients with ALBC use, 83.8% patient had one type of antibiotics, nevertheless 16.0% patients had two combided antibiotics. We found that the use of ALBC could not reduce the postoperative 30-day infection. When conducting multi-level logistic regression model, there remained no favorable effect of ALBC in reducing postopeartive infection(OR= 0.80, 95% CI: 0.50-1.26, p= 0.329). For risk of acute renal failure for ALBC users, the sample size (n=7) is too small to evaluate.</w:t>
      </w:r>
      <w:r w:rsidRPr="000E2C3E">
        <w:rPr>
          <w:rFonts w:hint="eastAsia"/>
          <w:lang w:val="it-IT"/>
        </w:rPr>
        <w:t xml:space="preserve"> In conclusion, </w:t>
      </w:r>
      <w:r w:rsidRPr="000E2C3E">
        <w:rPr>
          <w:lang w:val="it-IT"/>
        </w:rPr>
        <w:t>there was no significant benefit of ALBC in reducing postoperative 30-day infection in patients undergoing TKA.</w:t>
      </w:r>
      <w:r w:rsidR="00A9710C">
        <w:t xml:space="preserve"> </w:t>
      </w:r>
    </w:p>
    <w:p w:rsidR="00AE3E37" w:rsidRDefault="00A9710C">
      <w:pPr>
        <w:pStyle w:val="3"/>
        <w:spacing w:before="74"/>
      </w:pPr>
      <w:r>
        <w:rPr>
          <w:b w:val="0"/>
        </w:rPr>
        <w:br w:type="column"/>
      </w:r>
      <w:r>
        <w:rPr>
          <w:color w:val="BF5A14"/>
        </w:rPr>
        <w:lastRenderedPageBreak/>
        <w:t>Image</w:t>
      </w:r>
    </w:p>
    <w:p w:rsidR="00AE3E37" w:rsidRDefault="00652DB7">
      <w:pPr>
        <w:pStyle w:val="a3"/>
        <w:spacing w:before="2"/>
        <w:rPr>
          <w:rFonts w:ascii="Arial"/>
          <w:b/>
          <w:sz w:val="16"/>
        </w:rPr>
      </w:pPr>
      <w:r>
        <w:rPr>
          <w:noProof/>
          <w:lang w:eastAsia="zh-TW"/>
        </w:rPr>
        <w:drawing>
          <wp:inline distT="0" distB="0" distL="0" distR="0" wp14:anchorId="44CA48BE" wp14:editId="2C4ECDDB">
            <wp:extent cx="3601501" cy="1267818"/>
            <wp:effectExtent l="0" t="0" r="0" b="889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39038" t="37540" r="27425" b="45110"/>
                    <a:stretch/>
                  </pic:blipFill>
                  <pic:spPr bwMode="auto">
                    <a:xfrm>
                      <a:off x="0" y="0"/>
                      <a:ext cx="3609475" cy="1270625"/>
                    </a:xfrm>
                    <a:prstGeom prst="rect">
                      <a:avLst/>
                    </a:prstGeom>
                    <a:ln>
                      <a:noFill/>
                    </a:ln>
                    <a:extLst>
                      <a:ext uri="{53640926-AAD7-44D8-BBD7-CCE9431645EC}">
                        <a14:shadowObscured xmlns:a14="http://schemas.microsoft.com/office/drawing/2010/main"/>
                      </a:ext>
                    </a:extLst>
                  </pic:spPr>
                </pic:pic>
              </a:graphicData>
            </a:graphic>
          </wp:inline>
        </w:drawing>
      </w:r>
    </w:p>
    <w:p w:rsidR="00AE3E37" w:rsidRDefault="00414F7B">
      <w:pPr>
        <w:spacing w:before="157"/>
        <w:ind w:left="100"/>
        <w:rPr>
          <w:rFonts w:ascii="Arial"/>
          <w:b/>
          <w:sz w:val="20"/>
        </w:rPr>
      </w:pPr>
      <w:r>
        <w:rPr>
          <w:rFonts w:ascii="Arial"/>
          <w:b/>
          <w:color w:val="BF5A14"/>
          <w:sz w:val="20"/>
        </w:rPr>
        <w:t>Recent publi</w:t>
      </w:r>
      <w:r w:rsidR="00C33602">
        <w:rPr>
          <w:rFonts w:ascii="Arial"/>
          <w:b/>
          <w:color w:val="BF5A14"/>
          <w:sz w:val="20"/>
        </w:rPr>
        <w:t>cations (minimum 5)</w:t>
      </w:r>
    </w:p>
    <w:p w:rsidR="000E2C3E" w:rsidRPr="000E2C3E" w:rsidRDefault="000E2C3E" w:rsidP="000E2C3E">
      <w:pPr>
        <w:pStyle w:val="a4"/>
        <w:numPr>
          <w:ilvl w:val="0"/>
          <w:numId w:val="2"/>
        </w:numPr>
        <w:tabs>
          <w:tab w:val="left" w:pos="384"/>
        </w:tabs>
        <w:spacing w:before="99"/>
        <w:ind w:right="118"/>
        <w:rPr>
          <w:rFonts w:hint="eastAsia"/>
          <w:sz w:val="18"/>
        </w:rPr>
      </w:pPr>
      <w:r w:rsidRPr="000E2C3E">
        <w:rPr>
          <w:sz w:val="18"/>
        </w:rPr>
        <w:t xml:space="preserve">K.L. Liu, I.H. Chen, </w:t>
      </w:r>
      <w:r w:rsidRPr="000E2C3E">
        <w:rPr>
          <w:b/>
          <w:sz w:val="18"/>
          <w:u w:val="single"/>
        </w:rPr>
        <w:t>S.H. Wen*</w:t>
      </w:r>
      <w:r w:rsidRPr="000E2C3E">
        <w:rPr>
          <w:sz w:val="18"/>
        </w:rPr>
        <w:t xml:space="preserve"> (2017) Low dose tranexamic acid reduces blood transfusion rate after total knee arthroplasty: A population-based study in Taiwan. Journal of the Formosan Medical Association Volume 116(1):24–31</w:t>
      </w:r>
    </w:p>
    <w:p w:rsidR="000E2C3E" w:rsidRPr="000E2C3E" w:rsidRDefault="000E2C3E" w:rsidP="000E2C3E">
      <w:pPr>
        <w:pStyle w:val="a4"/>
        <w:numPr>
          <w:ilvl w:val="0"/>
          <w:numId w:val="2"/>
        </w:numPr>
        <w:tabs>
          <w:tab w:val="left" w:pos="384"/>
        </w:tabs>
        <w:spacing w:before="99"/>
        <w:ind w:right="118"/>
        <w:rPr>
          <w:sz w:val="18"/>
        </w:rPr>
      </w:pPr>
      <w:r w:rsidRPr="000E2C3E">
        <w:rPr>
          <w:sz w:val="18"/>
        </w:rPr>
        <w:t xml:space="preserve">C.S. Hsu, </w:t>
      </w:r>
      <w:r w:rsidRPr="000E2C3E">
        <w:rPr>
          <w:b/>
          <w:sz w:val="18"/>
          <w:u w:val="single"/>
        </w:rPr>
        <w:t>S.H. Wen</w:t>
      </w:r>
      <w:r w:rsidRPr="000E2C3E">
        <w:rPr>
          <w:sz w:val="18"/>
        </w:rPr>
        <w:t>, J.S. Hung, T.T. Liu, C.H. Yi, W.Y. Lei, F Pace, C.L. Chen* (2017) Overlap of Dyspepsia in Patients with Gastroesophageal Reflux Disease: Impact of Clinical, Metabolic, and Psychosocial Characteristics. Digestive Diseases and Sciences doi:10.1007/s10620-017-4455-8</w:t>
      </w:r>
    </w:p>
    <w:p w:rsidR="000E2C3E" w:rsidRPr="000E2C3E" w:rsidRDefault="000E2C3E" w:rsidP="000E2C3E">
      <w:pPr>
        <w:pStyle w:val="a4"/>
        <w:numPr>
          <w:ilvl w:val="0"/>
          <w:numId w:val="2"/>
        </w:numPr>
        <w:tabs>
          <w:tab w:val="left" w:pos="384"/>
        </w:tabs>
        <w:spacing w:before="99"/>
        <w:ind w:right="118" w:hanging="283"/>
        <w:rPr>
          <w:i/>
          <w:sz w:val="18"/>
        </w:rPr>
      </w:pPr>
      <w:r w:rsidRPr="000E2C3E">
        <w:rPr>
          <w:sz w:val="18"/>
        </w:rPr>
        <w:t xml:space="preserve">C.L. Wu, </w:t>
      </w:r>
      <w:r w:rsidRPr="000E2C3E">
        <w:rPr>
          <w:b/>
          <w:sz w:val="18"/>
          <w:u w:val="single"/>
        </w:rPr>
        <w:t>S.H. Wen</w:t>
      </w:r>
      <w:r w:rsidRPr="000E2C3E">
        <w:rPr>
          <w:sz w:val="18"/>
        </w:rPr>
        <w:t>* (2016) A 10-year follow-up study of the association between calcium channel blocker use and the risk of dementia in elderly hypertensive patients, Medicine 95:32 e4593</w:t>
      </w:r>
    </w:p>
    <w:p w:rsidR="000E2C3E" w:rsidRPr="000E2C3E" w:rsidRDefault="000E2C3E" w:rsidP="000E2C3E">
      <w:pPr>
        <w:pStyle w:val="a4"/>
        <w:numPr>
          <w:ilvl w:val="0"/>
          <w:numId w:val="2"/>
        </w:numPr>
        <w:tabs>
          <w:tab w:val="left" w:pos="384"/>
        </w:tabs>
        <w:spacing w:before="99"/>
        <w:ind w:right="118" w:hanging="283"/>
        <w:rPr>
          <w:i/>
          <w:sz w:val="18"/>
        </w:rPr>
      </w:pPr>
      <w:r w:rsidRPr="000E2C3E">
        <w:rPr>
          <w:sz w:val="18"/>
        </w:rPr>
        <w:t xml:space="preserve">K. L. Liu, W.T. Wu, J.H. Wang, T.C. Yu, </w:t>
      </w:r>
      <w:r w:rsidRPr="000E2C3E">
        <w:rPr>
          <w:b/>
          <w:bCs/>
          <w:sz w:val="18"/>
          <w:u w:val="single"/>
        </w:rPr>
        <w:t>S.H. Wen*</w:t>
      </w:r>
      <w:r w:rsidRPr="000E2C3E">
        <w:rPr>
          <w:b/>
          <w:sz w:val="18"/>
        </w:rPr>
        <w:t>, I.H. Chen*</w:t>
      </w:r>
      <w:r w:rsidRPr="000E2C3E">
        <w:rPr>
          <w:sz w:val="18"/>
        </w:rPr>
        <w:t xml:space="preserve"> (201</w:t>
      </w:r>
      <w:r w:rsidRPr="000E2C3E">
        <w:rPr>
          <w:rFonts w:hint="eastAsia"/>
          <w:sz w:val="18"/>
        </w:rPr>
        <w:t>6</w:t>
      </w:r>
      <w:r w:rsidRPr="000E2C3E">
        <w:rPr>
          <w:sz w:val="18"/>
        </w:rPr>
        <w:t>) When and how do prosthetic hips fail after total hip arthroplasties? – A retrospective study. Journal of the Formosan Medical Association</w:t>
      </w:r>
      <w:r w:rsidRPr="000E2C3E">
        <w:rPr>
          <w:rFonts w:hint="eastAsia"/>
          <w:sz w:val="18"/>
        </w:rPr>
        <w:t xml:space="preserve"> 115:786-793</w:t>
      </w:r>
      <w:r w:rsidRPr="000E2C3E">
        <w:rPr>
          <w:sz w:val="18"/>
        </w:rPr>
        <w:t>.</w:t>
      </w:r>
    </w:p>
    <w:p w:rsidR="000E2C3E" w:rsidRPr="000E2C3E" w:rsidRDefault="000E2C3E" w:rsidP="000E2C3E">
      <w:pPr>
        <w:pStyle w:val="a4"/>
        <w:numPr>
          <w:ilvl w:val="0"/>
          <w:numId w:val="2"/>
        </w:numPr>
        <w:tabs>
          <w:tab w:val="left" w:pos="384"/>
        </w:tabs>
        <w:spacing w:before="99"/>
        <w:ind w:right="118" w:hanging="283"/>
        <w:rPr>
          <w:b/>
          <w:sz w:val="18"/>
        </w:rPr>
      </w:pPr>
      <w:r w:rsidRPr="000E2C3E">
        <w:rPr>
          <w:rFonts w:hint="eastAsia"/>
          <w:sz w:val="18"/>
        </w:rPr>
        <w:t xml:space="preserve">H.C. Wu, </w:t>
      </w:r>
      <w:r w:rsidRPr="000E2C3E">
        <w:rPr>
          <w:b/>
          <w:sz w:val="18"/>
          <w:u w:val="single"/>
        </w:rPr>
        <w:t>S</w:t>
      </w:r>
      <w:r w:rsidRPr="000E2C3E">
        <w:rPr>
          <w:rFonts w:hint="eastAsia"/>
          <w:b/>
          <w:sz w:val="18"/>
          <w:u w:val="single"/>
        </w:rPr>
        <w:t>.</w:t>
      </w:r>
      <w:r w:rsidRPr="000E2C3E">
        <w:rPr>
          <w:b/>
          <w:sz w:val="18"/>
          <w:u w:val="single"/>
        </w:rPr>
        <w:t>H</w:t>
      </w:r>
      <w:r w:rsidRPr="000E2C3E">
        <w:rPr>
          <w:rFonts w:hint="eastAsia"/>
          <w:b/>
          <w:sz w:val="18"/>
          <w:u w:val="single"/>
        </w:rPr>
        <w:t>.</w:t>
      </w:r>
      <w:r w:rsidRPr="000E2C3E">
        <w:rPr>
          <w:b/>
          <w:sz w:val="18"/>
          <w:u w:val="single"/>
        </w:rPr>
        <w:t xml:space="preserve"> Wen</w:t>
      </w:r>
      <w:r w:rsidRPr="000E2C3E">
        <w:rPr>
          <w:rFonts w:hint="eastAsia"/>
          <w:b/>
          <w:sz w:val="18"/>
          <w:u w:val="single"/>
        </w:rPr>
        <w:t>,</w:t>
      </w:r>
      <w:r w:rsidRPr="000E2C3E">
        <w:rPr>
          <w:sz w:val="18"/>
        </w:rPr>
        <w:t xml:space="preserve"> J</w:t>
      </w:r>
      <w:r w:rsidRPr="000E2C3E">
        <w:rPr>
          <w:rFonts w:hint="eastAsia"/>
          <w:sz w:val="18"/>
        </w:rPr>
        <w:t>.</w:t>
      </w:r>
      <w:r w:rsidRPr="000E2C3E">
        <w:rPr>
          <w:sz w:val="18"/>
        </w:rPr>
        <w:t>S</w:t>
      </w:r>
      <w:r w:rsidRPr="000E2C3E">
        <w:rPr>
          <w:rFonts w:hint="eastAsia"/>
          <w:sz w:val="18"/>
        </w:rPr>
        <w:t>.</w:t>
      </w:r>
      <w:r w:rsidRPr="000E2C3E">
        <w:rPr>
          <w:sz w:val="18"/>
        </w:rPr>
        <w:t xml:space="preserve"> Hwang, S</w:t>
      </w:r>
      <w:r w:rsidRPr="000E2C3E">
        <w:rPr>
          <w:rFonts w:hint="eastAsia"/>
          <w:sz w:val="18"/>
        </w:rPr>
        <w:t>.</w:t>
      </w:r>
      <w:r w:rsidRPr="000E2C3E">
        <w:rPr>
          <w:sz w:val="18"/>
        </w:rPr>
        <w:t>C</w:t>
      </w:r>
      <w:r w:rsidRPr="000E2C3E">
        <w:rPr>
          <w:rFonts w:hint="eastAsia"/>
          <w:sz w:val="18"/>
        </w:rPr>
        <w:t>.</w:t>
      </w:r>
      <w:r w:rsidRPr="000E2C3E">
        <w:rPr>
          <w:sz w:val="18"/>
        </w:rPr>
        <w:t xml:space="preserve"> Huang</w:t>
      </w:r>
      <w:r w:rsidRPr="000E2C3E">
        <w:rPr>
          <w:rFonts w:hint="eastAsia"/>
          <w:sz w:val="18"/>
        </w:rPr>
        <w:t xml:space="preserve"> (2015) </w:t>
      </w:r>
      <w:r w:rsidRPr="000E2C3E">
        <w:rPr>
          <w:sz w:val="18"/>
        </w:rPr>
        <w:t>Validation of the traditional Chinese version of the Menopausal Rating Scale with WHOQOL-BREF.</w:t>
      </w:r>
      <w:r w:rsidRPr="000E2C3E">
        <w:rPr>
          <w:rFonts w:hint="eastAsia"/>
          <w:sz w:val="18"/>
        </w:rPr>
        <w:t xml:space="preserve"> </w:t>
      </w:r>
      <w:r w:rsidRPr="000E2C3E">
        <w:rPr>
          <w:b/>
          <w:sz w:val="18"/>
        </w:rPr>
        <w:t xml:space="preserve">Climacteric. </w:t>
      </w:r>
      <w:r w:rsidRPr="000E2C3E">
        <w:rPr>
          <w:sz w:val="18"/>
        </w:rPr>
        <w:t>2015 1:1-20.</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223EAA">
      <w:pPr>
        <w:pStyle w:val="a3"/>
        <w:spacing w:line="40" w:lineRule="exact"/>
        <w:ind w:left="2202"/>
        <w:rPr>
          <w:rFonts w:ascii="Calibri"/>
          <w:sz w:val="4"/>
        </w:rPr>
      </w:pPr>
      <w:r>
        <w:rPr>
          <w:rFonts w:ascii="Calibri"/>
          <w:noProof/>
          <w:sz w:val="4"/>
          <w:lang w:eastAsia="zh-TW"/>
        </w:rPr>
        <w:lastRenderedPageBreak/>
        <mc:AlternateContent>
          <mc:Choice Requires="wpg">
            <w:drawing>
              <wp:inline distT="0" distB="0" distL="0" distR="0">
                <wp:extent cx="3975735" cy="25400"/>
                <wp:effectExtent l="0" t="0" r="5715" b="3175"/>
                <wp:docPr id="9"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0"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87MJiWUCAABK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anchorlock/>
              </v:group>
            </w:pict>
          </mc:Fallback>
        </mc:AlternateContent>
      </w:r>
    </w:p>
    <w:p w:rsidR="00AE3E37" w:rsidRDefault="00404E5B" w:rsidP="00404E5B">
      <w:pPr>
        <w:spacing w:before="92"/>
        <w:ind w:right="4234"/>
        <w:rPr>
          <w:rFonts w:ascii="Arial"/>
        </w:rPr>
      </w:pPr>
      <w:r>
        <w:rPr>
          <w:rFonts w:ascii="Arial"/>
          <w:color w:val="BF5A14"/>
        </w:rPr>
        <w:t xml:space="preserve">                                          </w:t>
      </w:r>
      <w:r w:rsidR="00A9710C" w:rsidRPr="00B10563">
        <w:rPr>
          <w:rFonts w:ascii="Arial"/>
          <w:color w:val="BF5A14"/>
          <w:highlight w:val="yellow"/>
        </w:rPr>
        <w:t>Biography</w:t>
      </w:r>
      <w:r w:rsidRPr="00B10563">
        <w:rPr>
          <w:rFonts w:ascii="Arial"/>
          <w:color w:val="BF5A14"/>
          <w:highlight w:val="yellow"/>
        </w:rPr>
        <w:t xml:space="preserve"> (150 word limit)</w:t>
      </w:r>
    </w:p>
    <w:p w:rsidR="00AE3E37" w:rsidRDefault="00652DB7" w:rsidP="00EC6932">
      <w:pPr>
        <w:spacing w:before="41" w:line="154" w:lineRule="exact"/>
        <w:ind w:left="2410" w:right="231"/>
        <w:jc w:val="both"/>
        <w:rPr>
          <w:rFonts w:ascii="Arial"/>
          <w:sz w:val="14"/>
        </w:rPr>
      </w:pPr>
      <w:r w:rsidRPr="00652DB7">
        <w:rPr>
          <w:rFonts w:ascii="Arial" w:hint="eastAsia"/>
          <w:sz w:val="14"/>
          <w:lang w:val="en-NZ"/>
        </w:rPr>
        <w:t>Shu-Hui Wen</w:t>
      </w:r>
      <w:r w:rsidRPr="00652DB7">
        <w:rPr>
          <w:rFonts w:ascii="Arial"/>
          <w:sz w:val="14"/>
          <w:lang w:val="it-IT"/>
        </w:rPr>
        <w:t xml:space="preserve"> has completed h</w:t>
      </w:r>
      <w:r w:rsidRPr="00652DB7">
        <w:rPr>
          <w:rFonts w:ascii="Arial" w:hint="eastAsia"/>
          <w:sz w:val="14"/>
          <w:lang w:val="it-IT"/>
        </w:rPr>
        <w:t>er</w:t>
      </w:r>
      <w:r w:rsidRPr="00652DB7">
        <w:rPr>
          <w:rFonts w:ascii="Arial"/>
          <w:sz w:val="14"/>
          <w:lang w:val="it-IT"/>
        </w:rPr>
        <w:t xml:space="preserve"> PhD at the age of 2</w:t>
      </w:r>
      <w:r w:rsidRPr="00652DB7">
        <w:rPr>
          <w:rFonts w:ascii="Arial" w:hint="eastAsia"/>
          <w:sz w:val="14"/>
          <w:lang w:val="it-IT"/>
        </w:rPr>
        <w:t>8</w:t>
      </w:r>
      <w:r w:rsidRPr="00652DB7">
        <w:rPr>
          <w:rFonts w:ascii="Arial"/>
          <w:sz w:val="14"/>
          <w:lang w:val="it-IT"/>
        </w:rPr>
        <w:t xml:space="preserve"> years from </w:t>
      </w:r>
      <w:r w:rsidRPr="00652DB7">
        <w:rPr>
          <w:rFonts w:ascii="Arial" w:hint="eastAsia"/>
          <w:sz w:val="14"/>
          <w:lang w:val="it-IT"/>
        </w:rPr>
        <w:t>National Taiwan</w:t>
      </w:r>
      <w:r w:rsidRPr="00652DB7">
        <w:rPr>
          <w:rFonts w:ascii="Arial"/>
          <w:sz w:val="14"/>
          <w:lang w:val="it-IT"/>
        </w:rPr>
        <w:t xml:space="preserve"> University</w:t>
      </w:r>
      <w:r w:rsidRPr="00652DB7">
        <w:rPr>
          <w:rFonts w:ascii="Arial" w:hint="eastAsia"/>
          <w:sz w:val="14"/>
          <w:lang w:val="it-IT"/>
        </w:rPr>
        <w:t>, Taiwan</w:t>
      </w:r>
      <w:r w:rsidRPr="00652DB7">
        <w:rPr>
          <w:rFonts w:ascii="Arial"/>
          <w:sz w:val="14"/>
          <w:lang w:val="it-IT"/>
        </w:rPr>
        <w:t xml:space="preserve">. </w:t>
      </w:r>
      <w:r w:rsidRPr="00652DB7">
        <w:rPr>
          <w:rFonts w:ascii="Arial" w:hint="eastAsia"/>
          <w:sz w:val="14"/>
          <w:lang w:val="it-IT"/>
        </w:rPr>
        <w:t>Sh</w:t>
      </w:r>
      <w:r w:rsidRPr="00652DB7">
        <w:rPr>
          <w:rFonts w:ascii="Arial"/>
          <w:sz w:val="14"/>
          <w:lang w:val="it-IT"/>
        </w:rPr>
        <w:t xml:space="preserve">e is </w:t>
      </w:r>
      <w:r w:rsidRPr="00652DB7">
        <w:rPr>
          <w:rFonts w:ascii="Arial" w:hint="eastAsia"/>
          <w:sz w:val="14"/>
          <w:lang w:val="it-IT"/>
        </w:rPr>
        <w:t>an associate professor</w:t>
      </w:r>
      <w:r w:rsidRPr="00652DB7">
        <w:rPr>
          <w:rFonts w:ascii="Arial"/>
          <w:sz w:val="14"/>
          <w:lang w:val="it-IT"/>
        </w:rPr>
        <w:t xml:space="preserve"> of </w:t>
      </w:r>
      <w:r w:rsidRPr="00652DB7">
        <w:rPr>
          <w:rFonts w:ascii="Arial" w:hint="eastAsia"/>
          <w:sz w:val="14"/>
          <w:lang w:val="it-IT"/>
        </w:rPr>
        <w:t>department of public health</w:t>
      </w:r>
      <w:r w:rsidRPr="00652DB7">
        <w:rPr>
          <w:rFonts w:ascii="Arial"/>
          <w:sz w:val="14"/>
          <w:lang w:val="it-IT"/>
        </w:rPr>
        <w:t xml:space="preserve">, </w:t>
      </w:r>
      <w:r w:rsidRPr="00652DB7">
        <w:rPr>
          <w:rFonts w:ascii="Arial" w:hint="eastAsia"/>
          <w:sz w:val="14"/>
          <w:lang w:val="it-IT"/>
        </w:rPr>
        <w:t>Tzu-Chi University in Taiwan</w:t>
      </w:r>
      <w:r w:rsidRPr="00652DB7">
        <w:rPr>
          <w:rFonts w:ascii="Arial"/>
          <w:sz w:val="14"/>
          <w:lang w:val="it-IT"/>
        </w:rPr>
        <w:t xml:space="preserve">. </w:t>
      </w:r>
      <w:r w:rsidRPr="00652DB7">
        <w:rPr>
          <w:rFonts w:ascii="Arial" w:hint="eastAsia"/>
          <w:sz w:val="14"/>
        </w:rPr>
        <w:t xml:space="preserve">Recently, </w:t>
      </w:r>
      <w:r>
        <w:rPr>
          <w:rFonts w:ascii="Arial" w:eastAsiaTheme="minorEastAsia" w:hint="eastAsia"/>
          <w:sz w:val="14"/>
          <w:lang w:eastAsia="zh-TW"/>
        </w:rPr>
        <w:t>her</w:t>
      </w:r>
      <w:r w:rsidRPr="00652DB7">
        <w:rPr>
          <w:rFonts w:ascii="Arial"/>
          <w:sz w:val="14"/>
        </w:rPr>
        <w:t xml:space="preserve"> research focuses on the application of statistical techniques to the design, analysis and interpretation of </w:t>
      </w:r>
      <w:r w:rsidRPr="00652DB7">
        <w:rPr>
          <w:rFonts w:ascii="Arial" w:hint="eastAsia"/>
          <w:sz w:val="14"/>
        </w:rPr>
        <w:t>secondary database</w:t>
      </w:r>
      <w:r w:rsidRPr="00652DB7">
        <w:rPr>
          <w:rFonts w:ascii="Arial"/>
          <w:sz w:val="14"/>
        </w:rPr>
        <w:t xml:space="preserve"> arising from public health</w:t>
      </w:r>
      <w:r w:rsidRPr="00652DB7">
        <w:rPr>
          <w:rFonts w:ascii="Arial" w:hint="eastAsia"/>
          <w:sz w:val="14"/>
        </w:rPr>
        <w:t xml:space="preserve"> or clinical</w:t>
      </w:r>
      <w:r w:rsidRPr="00652DB7">
        <w:rPr>
          <w:rFonts w:ascii="Arial"/>
          <w:sz w:val="14"/>
        </w:rPr>
        <w:t xml:space="preserve"> studies. Together with </w:t>
      </w:r>
      <w:r>
        <w:rPr>
          <w:rFonts w:ascii="Arial" w:eastAsiaTheme="minorEastAsia" w:hint="eastAsia"/>
          <w:sz w:val="14"/>
          <w:lang w:eastAsia="zh-TW"/>
        </w:rPr>
        <w:t>her</w:t>
      </w:r>
      <w:r w:rsidRPr="00652DB7">
        <w:rPr>
          <w:rFonts w:ascii="Arial"/>
          <w:sz w:val="14"/>
        </w:rPr>
        <w:t xml:space="preserve"> students and collaborators, </w:t>
      </w:r>
      <w:r>
        <w:rPr>
          <w:rFonts w:ascii="Arial" w:eastAsiaTheme="minorEastAsia" w:hint="eastAsia"/>
          <w:sz w:val="14"/>
          <w:lang w:eastAsia="zh-TW"/>
        </w:rPr>
        <w:t xml:space="preserve">she </w:t>
      </w:r>
      <w:proofErr w:type="gramStart"/>
      <w:r w:rsidRPr="00652DB7">
        <w:rPr>
          <w:rFonts w:ascii="Arial"/>
          <w:sz w:val="14"/>
        </w:rPr>
        <w:t>have</w:t>
      </w:r>
      <w:proofErr w:type="gramEnd"/>
      <w:r w:rsidRPr="00652DB7">
        <w:rPr>
          <w:rFonts w:ascii="Arial"/>
          <w:sz w:val="14"/>
        </w:rPr>
        <w:t xml:space="preserve"> been working on different areas of </w:t>
      </w:r>
      <w:r w:rsidRPr="00652DB7">
        <w:rPr>
          <w:rFonts w:ascii="Arial" w:hint="eastAsia"/>
          <w:sz w:val="14"/>
        </w:rPr>
        <w:t>surgical approaches, Chinese medicine and antihypertensive medicines.</w:t>
      </w:r>
      <w:r w:rsidRPr="00652DB7">
        <w:rPr>
          <w:rFonts w:ascii="Arial" w:hint="eastAsia"/>
          <w:b/>
          <w:sz w:val="14"/>
        </w:rPr>
        <w:t xml:space="preserve"> </w:t>
      </w:r>
      <w:r w:rsidRPr="00652DB7">
        <w:rPr>
          <w:rFonts w:ascii="Arial"/>
          <w:sz w:val="14"/>
        </w:rPr>
        <w:t xml:space="preserve">Currently this has led </w:t>
      </w:r>
      <w:r>
        <w:rPr>
          <w:rFonts w:ascii="Arial" w:eastAsiaTheme="minorEastAsia" w:hint="eastAsia"/>
          <w:sz w:val="14"/>
          <w:lang w:eastAsia="zh-TW"/>
        </w:rPr>
        <w:t>her</w:t>
      </w:r>
      <w:r w:rsidRPr="00652DB7">
        <w:rPr>
          <w:rFonts w:ascii="Arial"/>
          <w:sz w:val="14"/>
        </w:rPr>
        <w:t xml:space="preserve"> to focus on </w:t>
      </w:r>
      <w:proofErr w:type="spellStart"/>
      <w:r w:rsidRPr="00652DB7">
        <w:rPr>
          <w:rFonts w:ascii="Arial" w:hint="eastAsia"/>
          <w:sz w:val="14"/>
        </w:rPr>
        <w:t>p</w:t>
      </w:r>
      <w:r w:rsidRPr="00652DB7">
        <w:rPr>
          <w:rFonts w:ascii="Arial"/>
          <w:sz w:val="14"/>
        </w:rPr>
        <w:t>harmaco</w:t>
      </w:r>
      <w:proofErr w:type="spellEnd"/>
      <w:r w:rsidRPr="00652DB7">
        <w:rPr>
          <w:rFonts w:ascii="Arial" w:hint="eastAsia"/>
          <w:sz w:val="14"/>
        </w:rPr>
        <w:t>-</w:t>
      </w:r>
      <w:r w:rsidRPr="00652DB7">
        <w:rPr>
          <w:rFonts w:ascii="Arial"/>
          <w:sz w:val="14"/>
        </w:rPr>
        <w:t>epidemiology</w:t>
      </w:r>
      <w:r>
        <w:rPr>
          <w:rFonts w:ascii="Arial" w:eastAsiaTheme="minorEastAsia" w:hint="eastAsia"/>
          <w:sz w:val="14"/>
          <w:lang w:eastAsia="zh-TW"/>
        </w:rPr>
        <w:t xml:space="preserve"> research. </w:t>
      </w:r>
      <w:r w:rsidRPr="00652DB7">
        <w:rPr>
          <w:rFonts w:ascii="Arial" w:hint="eastAsia"/>
          <w:sz w:val="14"/>
          <w:lang w:val="it-IT"/>
        </w:rPr>
        <w:t>She</w:t>
      </w:r>
      <w:r w:rsidRPr="00652DB7">
        <w:rPr>
          <w:rFonts w:ascii="Arial"/>
          <w:sz w:val="14"/>
          <w:lang w:val="it-IT"/>
        </w:rPr>
        <w:t xml:space="preserve"> has published more than </w:t>
      </w:r>
      <w:r w:rsidRPr="00652DB7">
        <w:rPr>
          <w:rFonts w:ascii="Arial" w:hint="eastAsia"/>
          <w:sz w:val="14"/>
          <w:lang w:val="it-IT"/>
        </w:rPr>
        <w:t>30</w:t>
      </w:r>
      <w:r w:rsidRPr="00652DB7">
        <w:rPr>
          <w:rFonts w:ascii="Arial"/>
          <w:sz w:val="14"/>
          <w:lang w:val="it-IT"/>
        </w:rPr>
        <w:t xml:space="preserve"> papers in reputed journals. </w:t>
      </w:r>
    </w:p>
    <w:p w:rsidR="00AE3E37" w:rsidRDefault="00A9710C">
      <w:pPr>
        <w:spacing w:before="62"/>
        <w:ind w:left="4217" w:right="4235"/>
        <w:jc w:val="center"/>
        <w:rPr>
          <w:rFonts w:ascii="Arial"/>
          <w:sz w:val="14"/>
        </w:rPr>
      </w:pPr>
      <w:r>
        <w:rPr>
          <w:rFonts w:ascii="Arial"/>
          <w:sz w:val="14"/>
        </w:rPr>
        <w:t xml:space="preserve">Email: </w:t>
      </w:r>
      <w:hyperlink r:id="rId11" w:history="1">
        <w:r w:rsidR="00652DB7" w:rsidRPr="00D051A2">
          <w:rPr>
            <w:rStyle w:val="ab"/>
            <w:rFonts w:ascii="Arial" w:eastAsiaTheme="minorEastAsia" w:hint="eastAsia"/>
            <w:sz w:val="14"/>
            <w:lang w:eastAsia="zh-TW"/>
          </w:rPr>
          <w:t>shwen@gms.tcu.edu.tw</w:t>
        </w:r>
      </w:hyperlink>
    </w:p>
    <w:p w:rsidR="00AE3E37" w:rsidRDefault="00223EAA">
      <w:pPr>
        <w:pStyle w:val="a3"/>
        <w:spacing w:before="2"/>
        <w:rPr>
          <w:rFonts w:ascii="Arial"/>
          <w:sz w:val="19"/>
        </w:rPr>
      </w:pPr>
      <w:r>
        <w:rPr>
          <w:noProof/>
          <w:lang w:eastAsia="zh-TW"/>
        </w:rPr>
        <mc:AlternateContent>
          <mc:Choice Requires="wps">
            <w:drawing>
              <wp:anchor distT="0" distB="0" distL="0" distR="0" simplePos="0" relativeHeight="1072" behindDoc="0" locked="0" layoutInCell="1" allowOverlap="1" wp14:anchorId="675BC786" wp14:editId="47024FFF">
                <wp:simplePos x="0" y="0"/>
                <wp:positionH relativeFrom="page">
                  <wp:posOffset>2058670</wp:posOffset>
                </wp:positionH>
                <wp:positionV relativeFrom="paragraph">
                  <wp:posOffset>168275</wp:posOffset>
                </wp:positionV>
                <wp:extent cx="3442335" cy="0"/>
                <wp:effectExtent l="10795" t="6350" r="13970" b="12700"/>
                <wp:wrapTopAndBottom/>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AE3E37" w:rsidRDefault="00EC6932">
      <w:pPr>
        <w:pStyle w:val="a3"/>
        <w:rPr>
          <w:rFonts w:ascii="Arial"/>
          <w:sz w:val="20"/>
        </w:rPr>
      </w:pPr>
      <w:r>
        <w:rPr>
          <w:rFonts w:ascii="Times New Roman" w:eastAsia="新細明體" w:hAnsi="Times New Roman" w:cs="Times New Roman"/>
          <w:noProof/>
          <w:lang w:eastAsia="zh-TW"/>
        </w:rPr>
        <w:drawing>
          <wp:inline distT="0" distB="0" distL="0" distR="0" wp14:anchorId="607D1E84" wp14:editId="3B088F36">
            <wp:extent cx="1256599" cy="1234483"/>
            <wp:effectExtent l="0" t="0" r="1270" b="3810"/>
            <wp:docPr id="11" name="圖片 11" descr="大頭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大頭照"/>
                    <pic:cNvPicPr>
                      <a:picLocks noChangeAspect="1" noChangeArrowheads="1"/>
                    </pic:cNvPicPr>
                  </pic:nvPicPr>
                  <pic:blipFill>
                    <a:blip r:embed="rId12" cstate="print">
                      <a:extLst>
                        <a:ext uri="{28A0092B-C50C-407E-A947-70E740481C1C}">
                          <a14:useLocalDpi xmlns:a14="http://schemas.microsoft.com/office/drawing/2010/main" val="0"/>
                        </a:ext>
                      </a:extLst>
                    </a:blip>
                    <a:srcRect t="23645" r="56961" b="43872"/>
                    <a:stretch>
                      <a:fillRect/>
                    </a:stretch>
                  </pic:blipFill>
                  <pic:spPr bwMode="auto">
                    <a:xfrm>
                      <a:off x="0" y="0"/>
                      <a:ext cx="1260509" cy="1238324"/>
                    </a:xfrm>
                    <a:prstGeom prst="rect">
                      <a:avLst/>
                    </a:prstGeom>
                    <a:noFill/>
                    <a:ln>
                      <a:noFill/>
                    </a:ln>
                  </pic:spPr>
                </pic:pic>
              </a:graphicData>
            </a:graphic>
          </wp:inline>
        </w:drawing>
      </w:r>
    </w:p>
    <w:p w:rsidR="00AE3E37" w:rsidRDefault="00AE3E37">
      <w:pPr>
        <w:pStyle w:val="a3"/>
        <w:rPr>
          <w:rFonts w:ascii="Arial"/>
          <w:sz w:val="20"/>
        </w:rPr>
      </w:pPr>
    </w:p>
    <w:p w:rsidR="00AE3E37" w:rsidRDefault="00AE3E37">
      <w:pPr>
        <w:pStyle w:val="a3"/>
        <w:spacing w:before="7"/>
        <w:rPr>
          <w:rFonts w:ascii="Arial"/>
          <w:sz w:val="29"/>
        </w:rPr>
      </w:pPr>
      <w:bookmarkStart w:id="0" w:name="_GoBack"/>
      <w:bookmarkEnd w:id="0"/>
    </w:p>
    <w:p w:rsidR="00AE3E37" w:rsidRPr="00B21A57" w:rsidRDefault="00A9710C">
      <w:pPr>
        <w:spacing w:before="39"/>
        <w:ind w:left="100"/>
        <w:rPr>
          <w:rFonts w:ascii="Minion Pro"/>
          <w:b/>
          <w:sz w:val="20"/>
        </w:rPr>
      </w:pPr>
      <w:r w:rsidRPr="00B21A57">
        <w:rPr>
          <w:rFonts w:ascii="Minion Pro"/>
          <w:b/>
          <w:sz w:val="20"/>
        </w:rPr>
        <w:t>Notes/Comments:</w:t>
      </w:r>
    </w:p>
    <w:sectPr w:rsidR="00AE3E37" w:rsidRPr="00B21A57" w:rsidSect="00A56DF6">
      <w:pgSz w:w="11910" w:h="16840"/>
      <w:pgMar w:top="1740" w:right="580" w:bottom="840" w:left="620" w:header="541" w:footer="64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1E97" w:rsidRDefault="00501E97">
      <w:r>
        <w:separator/>
      </w:r>
    </w:p>
  </w:endnote>
  <w:endnote w:type="continuationSeparator" w:id="0">
    <w:p w:rsidR="00501E97" w:rsidRDefault="00501E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23EAA">
    <w:pPr>
      <w:pStyle w:val="a3"/>
      <w:spacing w:line="14" w:lineRule="auto"/>
      <w:rPr>
        <w:sz w:val="20"/>
      </w:rPr>
    </w:pPr>
    <w:r>
      <w:rPr>
        <w:noProof/>
        <w:lang w:eastAsia="zh-TW"/>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TW"/>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TW"/>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1E97" w:rsidRDefault="00501E97">
      <w:r>
        <w:separator/>
      </w:r>
    </w:p>
  </w:footnote>
  <w:footnote w:type="continuationSeparator" w:id="0">
    <w:p w:rsidR="00501E97" w:rsidRDefault="00501E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23EAA">
    <w:pPr>
      <w:pStyle w:val="a3"/>
      <w:spacing w:line="14" w:lineRule="auto"/>
      <w:rPr>
        <w:sz w:val="20"/>
      </w:rPr>
    </w:pPr>
    <w:r>
      <w:rPr>
        <w:noProof/>
        <w:lang w:eastAsia="zh-TW"/>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TW"/>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EA11B2"/>
    <w:multiLevelType w:val="hybridMultilevel"/>
    <w:tmpl w:val="9C3AE70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396EA35C">
      <w:start w:val="1"/>
      <w:numFmt w:val="decimal"/>
      <w:lvlText w:val="%4."/>
      <w:lvlJc w:val="left"/>
      <w:pPr>
        <w:ind w:left="1920" w:hanging="480"/>
      </w:pPr>
      <w:rPr>
        <w:rFonts w:hint="eastAsia"/>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37365187"/>
    <w:multiLevelType w:val="hybridMultilevel"/>
    <w:tmpl w:val="C25A82E6"/>
    <w:lvl w:ilvl="0" w:tplc="396EA35C">
      <w:start w:val="1"/>
      <w:numFmt w:val="decimal"/>
      <w:lvlText w:val="%1."/>
      <w:lvlJc w:val="left"/>
      <w:pPr>
        <w:ind w:left="192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6"/>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E2C3E"/>
    <w:rsid w:val="001263DF"/>
    <w:rsid w:val="001809D1"/>
    <w:rsid w:val="00223EAA"/>
    <w:rsid w:val="00327235"/>
    <w:rsid w:val="00404E5B"/>
    <w:rsid w:val="00414F7B"/>
    <w:rsid w:val="004355DC"/>
    <w:rsid w:val="004749B4"/>
    <w:rsid w:val="004F3523"/>
    <w:rsid w:val="00501E97"/>
    <w:rsid w:val="005B3A56"/>
    <w:rsid w:val="006060CE"/>
    <w:rsid w:val="0063497F"/>
    <w:rsid w:val="00652DB7"/>
    <w:rsid w:val="0079344C"/>
    <w:rsid w:val="00873DF0"/>
    <w:rsid w:val="009B2D44"/>
    <w:rsid w:val="00A47B0D"/>
    <w:rsid w:val="00A56DF6"/>
    <w:rsid w:val="00A9710C"/>
    <w:rsid w:val="00AE3E37"/>
    <w:rsid w:val="00B10563"/>
    <w:rsid w:val="00B21A57"/>
    <w:rsid w:val="00C33602"/>
    <w:rsid w:val="00CD6F55"/>
    <w:rsid w:val="00DE3F93"/>
    <w:rsid w:val="00EC693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a6"/>
    <w:uiPriority w:val="99"/>
    <w:unhideWhenUsed/>
    <w:rsid w:val="005B3A56"/>
    <w:pPr>
      <w:tabs>
        <w:tab w:val="center" w:pos="4513"/>
        <w:tab w:val="right" w:pos="9026"/>
      </w:tabs>
    </w:pPr>
  </w:style>
  <w:style w:type="character" w:customStyle="1" w:styleId="a6">
    <w:name w:val="頁首 字元"/>
    <w:basedOn w:val="a0"/>
    <w:link w:val="a5"/>
    <w:uiPriority w:val="99"/>
    <w:rsid w:val="005B3A56"/>
    <w:rPr>
      <w:rFonts w:ascii="Tw Cen MT" w:eastAsia="Tw Cen MT" w:hAnsi="Tw Cen MT" w:cs="Tw Cen MT"/>
    </w:rPr>
  </w:style>
  <w:style w:type="paragraph" w:styleId="a7">
    <w:name w:val="footer"/>
    <w:basedOn w:val="a"/>
    <w:link w:val="a8"/>
    <w:uiPriority w:val="99"/>
    <w:unhideWhenUsed/>
    <w:rsid w:val="005B3A56"/>
    <w:pPr>
      <w:tabs>
        <w:tab w:val="center" w:pos="4513"/>
        <w:tab w:val="right" w:pos="9026"/>
      </w:tabs>
    </w:pPr>
  </w:style>
  <w:style w:type="character" w:customStyle="1" w:styleId="a8">
    <w:name w:val="頁尾 字元"/>
    <w:basedOn w:val="a0"/>
    <w:link w:val="a7"/>
    <w:uiPriority w:val="99"/>
    <w:rsid w:val="005B3A56"/>
    <w:rPr>
      <w:rFonts w:ascii="Tw Cen MT" w:eastAsia="Tw Cen MT" w:hAnsi="Tw Cen MT" w:cs="Tw Cen MT"/>
    </w:rPr>
  </w:style>
  <w:style w:type="paragraph" w:styleId="a9">
    <w:name w:val="Balloon Text"/>
    <w:basedOn w:val="a"/>
    <w:link w:val="aa"/>
    <w:uiPriority w:val="99"/>
    <w:semiHidden/>
    <w:unhideWhenUsed/>
    <w:rsid w:val="004F3523"/>
    <w:rPr>
      <w:rFonts w:ascii="Tahoma" w:hAnsi="Tahoma" w:cs="Tahoma"/>
      <w:sz w:val="16"/>
      <w:szCs w:val="16"/>
    </w:rPr>
  </w:style>
  <w:style w:type="character" w:customStyle="1" w:styleId="aa">
    <w:name w:val="註解方塊文字 字元"/>
    <w:basedOn w:val="a0"/>
    <w:link w:val="a9"/>
    <w:uiPriority w:val="99"/>
    <w:semiHidden/>
    <w:rsid w:val="004F3523"/>
    <w:rPr>
      <w:rFonts w:ascii="Tahoma" w:eastAsia="Tw Cen MT" w:hAnsi="Tahoma" w:cs="Tahoma"/>
      <w:sz w:val="16"/>
      <w:szCs w:val="16"/>
    </w:rPr>
  </w:style>
  <w:style w:type="character" w:styleId="ab">
    <w:name w:val="Hyperlink"/>
    <w:basedOn w:val="a0"/>
    <w:uiPriority w:val="99"/>
    <w:unhideWhenUsed/>
    <w:rsid w:val="00652DB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a6"/>
    <w:uiPriority w:val="99"/>
    <w:unhideWhenUsed/>
    <w:rsid w:val="005B3A56"/>
    <w:pPr>
      <w:tabs>
        <w:tab w:val="center" w:pos="4513"/>
        <w:tab w:val="right" w:pos="9026"/>
      </w:tabs>
    </w:pPr>
  </w:style>
  <w:style w:type="character" w:customStyle="1" w:styleId="a6">
    <w:name w:val="頁首 字元"/>
    <w:basedOn w:val="a0"/>
    <w:link w:val="a5"/>
    <w:uiPriority w:val="99"/>
    <w:rsid w:val="005B3A56"/>
    <w:rPr>
      <w:rFonts w:ascii="Tw Cen MT" w:eastAsia="Tw Cen MT" w:hAnsi="Tw Cen MT" w:cs="Tw Cen MT"/>
    </w:rPr>
  </w:style>
  <w:style w:type="paragraph" w:styleId="a7">
    <w:name w:val="footer"/>
    <w:basedOn w:val="a"/>
    <w:link w:val="a8"/>
    <w:uiPriority w:val="99"/>
    <w:unhideWhenUsed/>
    <w:rsid w:val="005B3A56"/>
    <w:pPr>
      <w:tabs>
        <w:tab w:val="center" w:pos="4513"/>
        <w:tab w:val="right" w:pos="9026"/>
      </w:tabs>
    </w:pPr>
  </w:style>
  <w:style w:type="character" w:customStyle="1" w:styleId="a8">
    <w:name w:val="頁尾 字元"/>
    <w:basedOn w:val="a0"/>
    <w:link w:val="a7"/>
    <w:uiPriority w:val="99"/>
    <w:rsid w:val="005B3A56"/>
    <w:rPr>
      <w:rFonts w:ascii="Tw Cen MT" w:eastAsia="Tw Cen MT" w:hAnsi="Tw Cen MT" w:cs="Tw Cen MT"/>
    </w:rPr>
  </w:style>
  <w:style w:type="paragraph" w:styleId="a9">
    <w:name w:val="Balloon Text"/>
    <w:basedOn w:val="a"/>
    <w:link w:val="aa"/>
    <w:uiPriority w:val="99"/>
    <w:semiHidden/>
    <w:unhideWhenUsed/>
    <w:rsid w:val="004F3523"/>
    <w:rPr>
      <w:rFonts w:ascii="Tahoma" w:hAnsi="Tahoma" w:cs="Tahoma"/>
      <w:sz w:val="16"/>
      <w:szCs w:val="16"/>
    </w:rPr>
  </w:style>
  <w:style w:type="character" w:customStyle="1" w:styleId="aa">
    <w:name w:val="註解方塊文字 字元"/>
    <w:basedOn w:val="a0"/>
    <w:link w:val="a9"/>
    <w:uiPriority w:val="99"/>
    <w:semiHidden/>
    <w:rsid w:val="004F3523"/>
    <w:rPr>
      <w:rFonts w:ascii="Tahoma" w:eastAsia="Tw Cen MT" w:hAnsi="Tahoma" w:cs="Tahoma"/>
      <w:sz w:val="16"/>
      <w:szCs w:val="16"/>
    </w:rPr>
  </w:style>
  <w:style w:type="character" w:styleId="ab">
    <w:name w:val="Hyperlink"/>
    <w:basedOn w:val="a0"/>
    <w:uiPriority w:val="99"/>
    <w:unhideWhenUsed/>
    <w:rsid w:val="00652DB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01298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shwen@gms.tcu.edu.tw"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573</Words>
  <Characters>3268</Characters>
  <Application>Microsoft Office Word</Application>
  <DocSecurity>0</DocSecurity>
  <Lines>27</Lines>
  <Paragraphs>7</Paragraphs>
  <ScaleCrop>false</ScaleCrop>
  <Company>Microsoft</Company>
  <LinksUpToDate>false</LinksUpToDate>
  <CharactersWithSpaces>3834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TCU-2282</cp:lastModifiedBy>
  <cp:revision>6</cp:revision>
  <dcterms:created xsi:type="dcterms:W3CDTF">2017-02-14T06:37:00Z</dcterms:created>
  <dcterms:modified xsi:type="dcterms:W3CDTF">2017-02-14T06:52:00Z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