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F67" w:rsidRPr="00A71F67" w:rsidRDefault="00A71F67" w:rsidP="00A71F67">
      <w:pPr>
        <w:pStyle w:val="Heading1"/>
        <w:shd w:val="clear" w:color="auto" w:fill="FFFFFF"/>
        <w:spacing w:before="0" w:after="60"/>
        <w:ind w:left="0"/>
        <w:jc w:val="both"/>
        <w:rPr>
          <w:rFonts w:ascii="Times New Roman" w:eastAsia="Times New Roman" w:hAnsi="Times New Roman" w:cs="Times New Roman"/>
          <w:bCs w:val="0"/>
          <w:color w:val="000000"/>
          <w:sz w:val="22"/>
          <w:szCs w:val="22"/>
        </w:rPr>
      </w:pPr>
      <w:r w:rsidRPr="00A71F67">
        <w:rPr>
          <w:rFonts w:ascii="Times New Roman" w:hAnsi="Times New Roman" w:cs="Times New Roman"/>
          <w:bCs w:val="0"/>
          <w:color w:val="000000"/>
          <w:sz w:val="22"/>
          <w:szCs w:val="22"/>
        </w:rPr>
        <w:t xml:space="preserve">Role of IV Immunoglobulin in Indian Children </w:t>
      </w:r>
      <w:proofErr w:type="gramStart"/>
      <w:r w:rsidRPr="00A71F67">
        <w:rPr>
          <w:rFonts w:ascii="Times New Roman" w:hAnsi="Times New Roman" w:cs="Times New Roman"/>
          <w:bCs w:val="0"/>
          <w:color w:val="000000"/>
          <w:sz w:val="22"/>
          <w:szCs w:val="22"/>
        </w:rPr>
        <w:t>With</w:t>
      </w:r>
      <w:proofErr w:type="gramEnd"/>
      <w:r w:rsidRPr="00A71F67">
        <w:rPr>
          <w:rFonts w:ascii="Times New Roman" w:hAnsi="Times New Roman" w:cs="Times New Roman"/>
          <w:bCs w:val="0"/>
          <w:color w:val="000000"/>
          <w:sz w:val="22"/>
          <w:szCs w:val="22"/>
        </w:rPr>
        <w:t xml:space="preserve"> </w:t>
      </w:r>
      <w:proofErr w:type="spellStart"/>
      <w:r w:rsidRPr="00A71F67">
        <w:rPr>
          <w:rFonts w:ascii="Times New Roman" w:hAnsi="Times New Roman" w:cs="Times New Roman"/>
          <w:bCs w:val="0"/>
          <w:color w:val="000000"/>
          <w:sz w:val="22"/>
          <w:szCs w:val="22"/>
        </w:rPr>
        <w:t>Guillain-Barré</w:t>
      </w:r>
      <w:proofErr w:type="spellEnd"/>
      <w:r w:rsidRPr="00A71F67">
        <w:rPr>
          <w:rFonts w:ascii="Times New Roman" w:hAnsi="Times New Roman" w:cs="Times New Roman"/>
          <w:bCs w:val="0"/>
          <w:color w:val="000000"/>
          <w:sz w:val="22"/>
          <w:szCs w:val="22"/>
        </w:rPr>
        <w:t xml:space="preserve"> Syndrome</w:t>
      </w:r>
    </w:p>
    <w:p w:rsidR="00A71F67" w:rsidRPr="00A71F67" w:rsidRDefault="00A71F67" w:rsidP="00A71F67">
      <w:pPr>
        <w:pStyle w:val="BodyText"/>
        <w:jc w:val="both"/>
        <w:rPr>
          <w:rFonts w:ascii="Times New Roman" w:hAnsi="Times New Roman" w:cs="Times New Roman"/>
          <w:sz w:val="22"/>
          <w:szCs w:val="22"/>
        </w:rPr>
      </w:pPr>
      <w:r w:rsidRPr="00A71F67">
        <w:rPr>
          <w:rFonts w:ascii="Times New Roman" w:hAnsi="Times New Roman" w:cs="Times New Roman"/>
          <w:sz w:val="22"/>
          <w:szCs w:val="22"/>
        </w:rPr>
        <w:t xml:space="preserve">Authors </w:t>
      </w:r>
    </w:p>
    <w:p w:rsidR="00AE3E37" w:rsidRPr="00A71F67" w:rsidRDefault="00A71F67" w:rsidP="00A71F67">
      <w:pPr>
        <w:pStyle w:val="BodyText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A71F67">
        <w:rPr>
          <w:rFonts w:ascii="Times New Roman" w:hAnsi="Times New Roman" w:cs="Times New Roman"/>
          <w:sz w:val="22"/>
          <w:szCs w:val="22"/>
        </w:rPr>
        <w:t>Mritunjai</w:t>
      </w:r>
      <w:proofErr w:type="spellEnd"/>
      <w:r w:rsidRPr="00A71F67">
        <w:rPr>
          <w:rFonts w:ascii="Times New Roman" w:hAnsi="Times New Roman" w:cs="Times New Roman"/>
          <w:sz w:val="22"/>
          <w:szCs w:val="22"/>
        </w:rPr>
        <w:t xml:space="preserve"> Kumar, All India Institute of Medical Sciences, </w:t>
      </w:r>
      <w:proofErr w:type="spellStart"/>
      <w:r w:rsidRPr="00A71F67">
        <w:rPr>
          <w:rFonts w:ascii="Times New Roman" w:hAnsi="Times New Roman" w:cs="Times New Roman"/>
          <w:sz w:val="22"/>
          <w:szCs w:val="22"/>
        </w:rPr>
        <w:t>Rishikesh</w:t>
      </w:r>
      <w:proofErr w:type="spellEnd"/>
      <w:r w:rsidRPr="00A71F67">
        <w:rPr>
          <w:rFonts w:ascii="Times New Roman" w:hAnsi="Times New Roman" w:cs="Times New Roman"/>
          <w:sz w:val="22"/>
          <w:szCs w:val="22"/>
        </w:rPr>
        <w:t>, India</w:t>
      </w:r>
    </w:p>
    <w:p w:rsidR="00A71F67" w:rsidRPr="00A71F67" w:rsidRDefault="00A71F67" w:rsidP="00A71F67">
      <w:pPr>
        <w:pStyle w:val="BodyText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A71F67">
        <w:rPr>
          <w:rFonts w:ascii="Times New Roman" w:hAnsi="Times New Roman" w:cs="Times New Roman"/>
          <w:sz w:val="22"/>
          <w:szCs w:val="22"/>
        </w:rPr>
        <w:t>Jayantee</w:t>
      </w:r>
      <w:proofErr w:type="spellEnd"/>
      <w:r w:rsidRPr="00A71F6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71F67">
        <w:rPr>
          <w:rFonts w:ascii="Times New Roman" w:hAnsi="Times New Roman" w:cs="Times New Roman"/>
          <w:sz w:val="22"/>
          <w:szCs w:val="22"/>
        </w:rPr>
        <w:t>Kalita</w:t>
      </w:r>
      <w:proofErr w:type="spellEnd"/>
      <w:r w:rsidRPr="00A71F67">
        <w:rPr>
          <w:rFonts w:ascii="Times New Roman" w:hAnsi="Times New Roman" w:cs="Times New Roman"/>
          <w:sz w:val="22"/>
          <w:szCs w:val="22"/>
        </w:rPr>
        <w:t>, Sanjay Gandhi PGI, Lucknow, India</w:t>
      </w:r>
    </w:p>
    <w:p w:rsidR="00AE3E37" w:rsidRPr="00A71F67" w:rsidRDefault="00A71F67" w:rsidP="00A71F67">
      <w:pPr>
        <w:pStyle w:val="BodyText"/>
        <w:jc w:val="both"/>
        <w:rPr>
          <w:rFonts w:ascii="Times New Roman" w:hAnsi="Times New Roman" w:cs="Times New Roman"/>
          <w:sz w:val="22"/>
          <w:szCs w:val="22"/>
        </w:rPr>
      </w:pPr>
      <w:r w:rsidRPr="00A71F67">
        <w:rPr>
          <w:rFonts w:ascii="Times New Roman" w:hAnsi="Times New Roman" w:cs="Times New Roman"/>
          <w:sz w:val="22"/>
          <w:szCs w:val="22"/>
        </w:rPr>
        <w:t xml:space="preserve">U K </w:t>
      </w:r>
      <w:proofErr w:type="spellStart"/>
      <w:r w:rsidRPr="00A71F67">
        <w:rPr>
          <w:rFonts w:ascii="Times New Roman" w:hAnsi="Times New Roman" w:cs="Times New Roman"/>
          <w:sz w:val="22"/>
          <w:szCs w:val="22"/>
        </w:rPr>
        <w:t>Misra</w:t>
      </w:r>
      <w:proofErr w:type="spellEnd"/>
      <w:r w:rsidRPr="00A71F67">
        <w:rPr>
          <w:rFonts w:ascii="Times New Roman" w:hAnsi="Times New Roman" w:cs="Times New Roman"/>
          <w:sz w:val="22"/>
          <w:szCs w:val="22"/>
        </w:rPr>
        <w:t xml:space="preserve">, </w:t>
      </w:r>
      <w:r w:rsidRPr="00A71F67">
        <w:rPr>
          <w:rFonts w:ascii="Times New Roman" w:hAnsi="Times New Roman" w:cs="Times New Roman"/>
          <w:sz w:val="22"/>
          <w:szCs w:val="22"/>
        </w:rPr>
        <w:t>Sanjay Gandhi PGI, Lucknow, India</w:t>
      </w:r>
    </w:p>
    <w:p w:rsidR="00AE3E37" w:rsidRPr="00A71F67" w:rsidRDefault="00AE3E37" w:rsidP="00A71F67">
      <w:pPr>
        <w:jc w:val="both"/>
        <w:rPr>
          <w:rFonts w:ascii="Times New Roman" w:hAnsi="Times New Roman" w:cs="Times New Roman"/>
        </w:rPr>
        <w:sectPr w:rsidR="00AE3E37" w:rsidRPr="00A71F6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A71F67" w:rsidRDefault="00A9710C" w:rsidP="00A71F67">
      <w:pPr>
        <w:pStyle w:val="Heading3"/>
        <w:spacing w:before="147"/>
        <w:jc w:val="both"/>
        <w:rPr>
          <w:rFonts w:ascii="Times New Roman" w:hAnsi="Times New Roman" w:cs="Times New Roman"/>
          <w:sz w:val="22"/>
          <w:szCs w:val="22"/>
        </w:rPr>
      </w:pPr>
      <w:r w:rsidRPr="00A71F67">
        <w:rPr>
          <w:rFonts w:ascii="Times New Roman" w:hAnsi="Times New Roman" w:cs="Times New Roman"/>
          <w:color w:val="BF5A14"/>
          <w:sz w:val="22"/>
          <w:szCs w:val="22"/>
        </w:rPr>
        <w:lastRenderedPageBreak/>
        <w:t>Abstract</w:t>
      </w:r>
      <w:r w:rsidR="00404E5B" w:rsidRPr="00A71F67">
        <w:rPr>
          <w:rFonts w:ascii="Times New Roman" w:hAnsi="Times New Roman" w:cs="Times New Roman"/>
          <w:color w:val="BF5A14"/>
          <w:sz w:val="22"/>
          <w:szCs w:val="22"/>
        </w:rPr>
        <w:t xml:space="preserve"> (</w:t>
      </w:r>
      <w:proofErr w:type="gramStart"/>
      <w:r w:rsidR="00404E5B" w:rsidRPr="00A71F67">
        <w:rPr>
          <w:rFonts w:ascii="Times New Roman" w:hAnsi="Times New Roman" w:cs="Times New Roman"/>
          <w:color w:val="BF5A14"/>
          <w:sz w:val="22"/>
          <w:szCs w:val="22"/>
        </w:rPr>
        <w:t>300 word</w:t>
      </w:r>
      <w:proofErr w:type="gramEnd"/>
      <w:r w:rsidR="00404E5B" w:rsidRPr="00A71F67">
        <w:rPr>
          <w:rFonts w:ascii="Times New Roman" w:hAnsi="Times New Roman" w:cs="Times New Roman"/>
          <w:color w:val="BF5A14"/>
          <w:sz w:val="22"/>
          <w:szCs w:val="22"/>
        </w:rPr>
        <w:t xml:space="preserve"> limit)</w:t>
      </w:r>
    </w:p>
    <w:p w:rsidR="00A71F67" w:rsidRPr="00A71F67" w:rsidRDefault="00A71F67" w:rsidP="00A71F67">
      <w:pPr>
        <w:pStyle w:val="Heading3"/>
        <w:shd w:val="clear" w:color="auto" w:fill="F9F7F7"/>
        <w:jc w:val="both"/>
        <w:rPr>
          <w:rFonts w:ascii="Times New Roman" w:eastAsia="Times New Roman" w:hAnsi="Times New Roman" w:cs="Times New Roman"/>
          <w:color w:val="353535"/>
          <w:sz w:val="22"/>
          <w:szCs w:val="22"/>
        </w:rPr>
      </w:pPr>
      <w:r w:rsidRPr="00A71F67">
        <w:rPr>
          <w:rFonts w:ascii="Times New Roman" w:hAnsi="Times New Roman" w:cs="Times New Roman"/>
          <w:color w:val="353535"/>
          <w:sz w:val="22"/>
          <w:szCs w:val="22"/>
        </w:rPr>
        <w:t>Objectives: </w:t>
      </w:r>
    </w:p>
    <w:p w:rsidR="00A71F67" w:rsidRPr="00A71F67" w:rsidRDefault="00A71F67" w:rsidP="00A71F67">
      <w:pPr>
        <w:pStyle w:val="NormalWeb"/>
        <w:shd w:val="clear" w:color="auto" w:fill="F9F7F7"/>
        <w:spacing w:before="0" w:beforeAutospacing="0" w:after="150" w:afterAutospacing="0"/>
        <w:jc w:val="both"/>
        <w:rPr>
          <w:color w:val="333333"/>
          <w:sz w:val="22"/>
          <w:szCs w:val="22"/>
        </w:rPr>
      </w:pPr>
      <w:r w:rsidRPr="00A71F67">
        <w:rPr>
          <w:color w:val="333333"/>
          <w:sz w:val="22"/>
          <w:szCs w:val="22"/>
        </w:rPr>
        <w:t>To evaluate the </w:t>
      </w:r>
      <w:r w:rsidRPr="00A71F67">
        <w:rPr>
          <w:rStyle w:val="ej-keyword"/>
          <w:color w:val="333333"/>
          <w:sz w:val="22"/>
          <w:szCs w:val="22"/>
        </w:rPr>
        <w:t>outcome</w:t>
      </w:r>
      <w:r w:rsidRPr="00A71F67">
        <w:rPr>
          <w:color w:val="333333"/>
          <w:sz w:val="22"/>
          <w:szCs w:val="22"/>
        </w:rPr>
        <w:t xml:space="preserve"> of Indian children with </w:t>
      </w:r>
      <w:proofErr w:type="spellStart"/>
      <w:r w:rsidRPr="00A71F67">
        <w:rPr>
          <w:color w:val="333333"/>
          <w:sz w:val="22"/>
          <w:szCs w:val="22"/>
        </w:rPr>
        <w:t>Guillain-Barré</w:t>
      </w:r>
      <w:proofErr w:type="spellEnd"/>
      <w:r w:rsidRPr="00A71F67">
        <w:rPr>
          <w:color w:val="333333"/>
          <w:sz w:val="22"/>
          <w:szCs w:val="22"/>
        </w:rPr>
        <w:t xml:space="preserve"> syndrome who received IV immunoglobulin compared with those who did not receive any specific therapy.</w:t>
      </w:r>
    </w:p>
    <w:p w:rsidR="00A71F67" w:rsidRPr="00A71F67" w:rsidRDefault="00A71F67" w:rsidP="00A71F67">
      <w:pPr>
        <w:pStyle w:val="Heading3"/>
        <w:shd w:val="clear" w:color="auto" w:fill="F9F7F7"/>
        <w:jc w:val="both"/>
        <w:rPr>
          <w:rFonts w:ascii="Times New Roman" w:hAnsi="Times New Roman" w:cs="Times New Roman"/>
          <w:color w:val="353535"/>
          <w:sz w:val="22"/>
          <w:szCs w:val="22"/>
        </w:rPr>
      </w:pPr>
      <w:r w:rsidRPr="00A71F67">
        <w:rPr>
          <w:rFonts w:ascii="Times New Roman" w:hAnsi="Times New Roman" w:cs="Times New Roman"/>
          <w:color w:val="353535"/>
          <w:sz w:val="22"/>
          <w:szCs w:val="22"/>
        </w:rPr>
        <w:t>Design: </w:t>
      </w:r>
    </w:p>
    <w:p w:rsidR="00A71F67" w:rsidRPr="00A71F67" w:rsidRDefault="00A71F67" w:rsidP="00A71F67">
      <w:pPr>
        <w:pStyle w:val="NormalWeb"/>
        <w:shd w:val="clear" w:color="auto" w:fill="F9F7F7"/>
        <w:spacing w:before="0" w:beforeAutospacing="0" w:after="150" w:afterAutospacing="0"/>
        <w:jc w:val="both"/>
        <w:rPr>
          <w:color w:val="333333"/>
          <w:sz w:val="22"/>
          <w:szCs w:val="22"/>
        </w:rPr>
      </w:pPr>
      <w:r w:rsidRPr="00A71F67">
        <w:rPr>
          <w:color w:val="333333"/>
          <w:sz w:val="22"/>
          <w:szCs w:val="22"/>
        </w:rPr>
        <w:t xml:space="preserve">Single </w:t>
      </w:r>
      <w:proofErr w:type="spellStart"/>
      <w:r w:rsidRPr="00A71F67">
        <w:rPr>
          <w:color w:val="333333"/>
          <w:sz w:val="22"/>
          <w:szCs w:val="22"/>
        </w:rPr>
        <w:t>center</w:t>
      </w:r>
      <w:proofErr w:type="spellEnd"/>
      <w:r w:rsidRPr="00A71F67">
        <w:rPr>
          <w:color w:val="333333"/>
          <w:sz w:val="22"/>
          <w:szCs w:val="22"/>
        </w:rPr>
        <w:t>, prospective cross-sectional study.</w:t>
      </w:r>
    </w:p>
    <w:p w:rsidR="00A71F67" w:rsidRPr="00A71F67" w:rsidRDefault="00A71F67" w:rsidP="00A71F67">
      <w:pPr>
        <w:pStyle w:val="Heading3"/>
        <w:shd w:val="clear" w:color="auto" w:fill="F9F7F7"/>
        <w:jc w:val="both"/>
        <w:rPr>
          <w:rFonts w:ascii="Times New Roman" w:hAnsi="Times New Roman" w:cs="Times New Roman"/>
          <w:color w:val="353535"/>
          <w:sz w:val="22"/>
          <w:szCs w:val="22"/>
        </w:rPr>
      </w:pPr>
      <w:r w:rsidRPr="00A71F67">
        <w:rPr>
          <w:rFonts w:ascii="Times New Roman" w:hAnsi="Times New Roman" w:cs="Times New Roman"/>
          <w:color w:val="353535"/>
          <w:sz w:val="22"/>
          <w:szCs w:val="22"/>
        </w:rPr>
        <w:t>Setting: </w:t>
      </w:r>
    </w:p>
    <w:p w:rsidR="00A71F67" w:rsidRPr="00A71F67" w:rsidRDefault="00A71F67" w:rsidP="00A71F67">
      <w:pPr>
        <w:pStyle w:val="NormalWeb"/>
        <w:shd w:val="clear" w:color="auto" w:fill="F9F7F7"/>
        <w:spacing w:before="0" w:beforeAutospacing="0" w:after="150" w:afterAutospacing="0"/>
        <w:jc w:val="both"/>
        <w:rPr>
          <w:color w:val="333333"/>
          <w:sz w:val="22"/>
          <w:szCs w:val="22"/>
        </w:rPr>
      </w:pPr>
      <w:r w:rsidRPr="00A71F67">
        <w:rPr>
          <w:color w:val="333333"/>
          <w:sz w:val="22"/>
          <w:szCs w:val="22"/>
        </w:rPr>
        <w:t>Tertiary care neurology teaching hospital.</w:t>
      </w:r>
    </w:p>
    <w:p w:rsidR="00A71F67" w:rsidRPr="00A71F67" w:rsidRDefault="00A71F67" w:rsidP="00A71F67">
      <w:pPr>
        <w:pStyle w:val="Heading3"/>
        <w:shd w:val="clear" w:color="auto" w:fill="F9F7F7"/>
        <w:jc w:val="both"/>
        <w:rPr>
          <w:rFonts w:ascii="Times New Roman" w:hAnsi="Times New Roman" w:cs="Times New Roman"/>
          <w:color w:val="353535"/>
          <w:sz w:val="22"/>
          <w:szCs w:val="22"/>
        </w:rPr>
      </w:pPr>
      <w:r w:rsidRPr="00A71F67">
        <w:rPr>
          <w:rFonts w:ascii="Times New Roman" w:hAnsi="Times New Roman" w:cs="Times New Roman"/>
          <w:color w:val="353535"/>
          <w:sz w:val="22"/>
          <w:szCs w:val="22"/>
        </w:rPr>
        <w:t>Patients: </w:t>
      </w:r>
    </w:p>
    <w:p w:rsidR="00A71F67" w:rsidRPr="00A71F67" w:rsidRDefault="00A71F67" w:rsidP="00A71F67">
      <w:pPr>
        <w:pStyle w:val="NormalWeb"/>
        <w:shd w:val="clear" w:color="auto" w:fill="F9F7F7"/>
        <w:spacing w:before="0" w:beforeAutospacing="0" w:after="150" w:afterAutospacing="0"/>
        <w:jc w:val="both"/>
        <w:rPr>
          <w:color w:val="333333"/>
          <w:sz w:val="22"/>
          <w:szCs w:val="22"/>
        </w:rPr>
      </w:pPr>
      <w:r w:rsidRPr="00A71F67">
        <w:rPr>
          <w:color w:val="333333"/>
          <w:sz w:val="22"/>
          <w:szCs w:val="22"/>
        </w:rPr>
        <w:t xml:space="preserve">Children (≤ 18 </w:t>
      </w:r>
      <w:proofErr w:type="spellStart"/>
      <w:r w:rsidRPr="00A71F67">
        <w:rPr>
          <w:color w:val="333333"/>
          <w:sz w:val="22"/>
          <w:szCs w:val="22"/>
        </w:rPr>
        <w:t>yr</w:t>
      </w:r>
      <w:proofErr w:type="spellEnd"/>
      <w:r w:rsidRPr="00A71F67">
        <w:rPr>
          <w:color w:val="333333"/>
          <w:sz w:val="22"/>
          <w:szCs w:val="22"/>
        </w:rPr>
        <w:t xml:space="preserve"> old) with </w:t>
      </w:r>
      <w:proofErr w:type="spellStart"/>
      <w:r w:rsidRPr="00A71F67">
        <w:rPr>
          <w:color w:val="333333"/>
          <w:sz w:val="22"/>
          <w:szCs w:val="22"/>
        </w:rPr>
        <w:t>Guillain-Barré</w:t>
      </w:r>
      <w:proofErr w:type="spellEnd"/>
      <w:r w:rsidRPr="00A71F67">
        <w:rPr>
          <w:color w:val="333333"/>
          <w:sz w:val="22"/>
          <w:szCs w:val="22"/>
        </w:rPr>
        <w:t xml:space="preserve"> syndrome were included from a prospectively maintained </w:t>
      </w:r>
      <w:proofErr w:type="spellStart"/>
      <w:r w:rsidRPr="00A71F67">
        <w:rPr>
          <w:color w:val="333333"/>
          <w:sz w:val="22"/>
          <w:szCs w:val="22"/>
        </w:rPr>
        <w:t>Guillain-Barré</w:t>
      </w:r>
      <w:proofErr w:type="spellEnd"/>
      <w:r w:rsidRPr="00A71F67">
        <w:rPr>
          <w:color w:val="333333"/>
          <w:sz w:val="22"/>
          <w:szCs w:val="22"/>
        </w:rPr>
        <w:t xml:space="preserve"> syndrome registry from January 2008 to April 2017. Children were classified into acute inflammatory demyelinating </w:t>
      </w:r>
      <w:proofErr w:type="spellStart"/>
      <w:r w:rsidRPr="00A71F67">
        <w:rPr>
          <w:color w:val="333333"/>
          <w:sz w:val="22"/>
          <w:szCs w:val="22"/>
        </w:rPr>
        <w:t>polyradiculoneuropathy</w:t>
      </w:r>
      <w:proofErr w:type="spellEnd"/>
      <w:r w:rsidRPr="00A71F67">
        <w:rPr>
          <w:color w:val="333333"/>
          <w:sz w:val="22"/>
          <w:szCs w:val="22"/>
        </w:rPr>
        <w:t xml:space="preserve">, acute motor axonal neuropathy, acute motor-sensory axonal neuropathy, and </w:t>
      </w:r>
      <w:proofErr w:type="spellStart"/>
      <w:r w:rsidRPr="00A71F67">
        <w:rPr>
          <w:color w:val="333333"/>
          <w:sz w:val="22"/>
          <w:szCs w:val="22"/>
        </w:rPr>
        <w:t>inexcitable</w:t>
      </w:r>
      <w:proofErr w:type="spellEnd"/>
      <w:r w:rsidRPr="00A71F67">
        <w:rPr>
          <w:color w:val="333333"/>
          <w:sz w:val="22"/>
          <w:szCs w:val="22"/>
        </w:rPr>
        <w:t xml:space="preserve"> motor nerves based on nerve conduction study.</w:t>
      </w:r>
    </w:p>
    <w:p w:rsidR="00A71F67" w:rsidRPr="00A71F67" w:rsidRDefault="00A71F67" w:rsidP="00A71F67">
      <w:pPr>
        <w:pStyle w:val="Heading3"/>
        <w:shd w:val="clear" w:color="auto" w:fill="F9F7F7"/>
        <w:jc w:val="both"/>
        <w:rPr>
          <w:rFonts w:ascii="Times New Roman" w:hAnsi="Times New Roman" w:cs="Times New Roman"/>
          <w:color w:val="353535"/>
          <w:sz w:val="22"/>
          <w:szCs w:val="22"/>
        </w:rPr>
      </w:pPr>
      <w:r w:rsidRPr="00A71F67">
        <w:rPr>
          <w:rFonts w:ascii="Times New Roman" w:hAnsi="Times New Roman" w:cs="Times New Roman"/>
          <w:color w:val="353535"/>
          <w:sz w:val="22"/>
          <w:szCs w:val="22"/>
        </w:rPr>
        <w:t>Interventions: </w:t>
      </w:r>
    </w:p>
    <w:p w:rsidR="00A71F67" w:rsidRPr="00A71F67" w:rsidRDefault="00A71F67" w:rsidP="00A71F67">
      <w:pPr>
        <w:pStyle w:val="NormalWeb"/>
        <w:shd w:val="clear" w:color="auto" w:fill="F9F7F7"/>
        <w:spacing w:before="0" w:beforeAutospacing="0" w:after="150" w:afterAutospacing="0"/>
        <w:jc w:val="both"/>
        <w:rPr>
          <w:color w:val="333333"/>
          <w:sz w:val="22"/>
          <w:szCs w:val="22"/>
        </w:rPr>
      </w:pPr>
      <w:r w:rsidRPr="00A71F67">
        <w:rPr>
          <w:color w:val="333333"/>
          <w:sz w:val="22"/>
          <w:szCs w:val="22"/>
        </w:rPr>
        <w:t xml:space="preserve">Out of 138 </w:t>
      </w:r>
      <w:proofErr w:type="spellStart"/>
      <w:r w:rsidRPr="00A71F67">
        <w:rPr>
          <w:color w:val="333333"/>
          <w:sz w:val="22"/>
          <w:szCs w:val="22"/>
        </w:rPr>
        <w:t>pediatric</w:t>
      </w:r>
      <w:proofErr w:type="spellEnd"/>
      <w:r w:rsidRPr="00A71F67">
        <w:rPr>
          <w:color w:val="333333"/>
          <w:sz w:val="22"/>
          <w:szCs w:val="22"/>
        </w:rPr>
        <w:t xml:space="preserve"> </w:t>
      </w:r>
      <w:proofErr w:type="spellStart"/>
      <w:r w:rsidRPr="00A71F67">
        <w:rPr>
          <w:color w:val="333333"/>
          <w:sz w:val="22"/>
          <w:szCs w:val="22"/>
        </w:rPr>
        <w:t>Guillain-Barré</w:t>
      </w:r>
      <w:proofErr w:type="spellEnd"/>
      <w:r w:rsidRPr="00A71F67">
        <w:rPr>
          <w:color w:val="333333"/>
          <w:sz w:val="22"/>
          <w:szCs w:val="22"/>
        </w:rPr>
        <w:t xml:space="preserve"> syndrome, 50 received IV immunoglobulin and another 50 age and peak disability matched controls (who did not receive IV immunoglobulin or plasmapheresis) were selected from the same registry for comparison.</w:t>
      </w:r>
    </w:p>
    <w:p w:rsidR="00A71F67" w:rsidRPr="00A71F67" w:rsidRDefault="00A71F67" w:rsidP="00A71F67">
      <w:pPr>
        <w:pStyle w:val="Heading3"/>
        <w:shd w:val="clear" w:color="auto" w:fill="F9F7F7"/>
        <w:jc w:val="both"/>
        <w:rPr>
          <w:rFonts w:ascii="Times New Roman" w:hAnsi="Times New Roman" w:cs="Times New Roman"/>
          <w:color w:val="353535"/>
          <w:sz w:val="22"/>
          <w:szCs w:val="22"/>
        </w:rPr>
      </w:pPr>
      <w:r w:rsidRPr="00A71F67">
        <w:rPr>
          <w:rFonts w:ascii="Times New Roman" w:hAnsi="Times New Roman" w:cs="Times New Roman"/>
          <w:color w:val="353535"/>
          <w:sz w:val="22"/>
          <w:szCs w:val="22"/>
        </w:rPr>
        <w:t>Measurements and Main Results: </w:t>
      </w:r>
    </w:p>
    <w:p w:rsidR="00A71F67" w:rsidRPr="00A71F67" w:rsidRDefault="00A71F67" w:rsidP="00A71F67">
      <w:pPr>
        <w:pStyle w:val="NormalWeb"/>
        <w:shd w:val="clear" w:color="auto" w:fill="F9F7F7"/>
        <w:spacing w:before="0" w:beforeAutospacing="0" w:after="150" w:afterAutospacing="0"/>
        <w:jc w:val="both"/>
        <w:rPr>
          <w:color w:val="333333"/>
          <w:sz w:val="22"/>
          <w:szCs w:val="22"/>
        </w:rPr>
      </w:pPr>
      <w:r w:rsidRPr="00A71F67">
        <w:rPr>
          <w:rStyle w:val="ej-keyword"/>
          <w:color w:val="333333"/>
          <w:sz w:val="22"/>
          <w:szCs w:val="22"/>
        </w:rPr>
        <w:t>Outcome</w:t>
      </w:r>
      <w:r w:rsidRPr="00A71F67">
        <w:rPr>
          <w:color w:val="333333"/>
          <w:sz w:val="22"/>
          <w:szCs w:val="22"/>
        </w:rPr>
        <w:t> at 3 and 6 months was defined on the basis of a 0–10 Clinical Grading Scale into complete (Clinical Grading Scale &lt; 3), partial (Clinical Grading Scale 3–5), and poor (Clinical Grading Scale &gt; 5) recovery. The primary </w:t>
      </w:r>
      <w:r w:rsidRPr="00A71F67">
        <w:rPr>
          <w:rStyle w:val="ej-keyword"/>
          <w:color w:val="333333"/>
          <w:sz w:val="22"/>
          <w:szCs w:val="22"/>
        </w:rPr>
        <w:t>outcome</w:t>
      </w:r>
      <w:r w:rsidRPr="00A71F67">
        <w:rPr>
          <w:color w:val="333333"/>
          <w:sz w:val="22"/>
          <w:szCs w:val="22"/>
        </w:rPr>
        <w:t xml:space="preserve"> was proportion of patients with complete recovery at 3 and 6 months in IV immunoglobulin and non-IV immunoglobulin groups. Secondary outcomes included in-hospital deaths, duration of mechanical ventilation, and hospital stay. Subgroup analysis was done in acute motor axonal neuropathy and acute inflammatory demyelinating </w:t>
      </w:r>
      <w:proofErr w:type="spellStart"/>
      <w:r w:rsidRPr="00A71F67">
        <w:rPr>
          <w:color w:val="333333"/>
          <w:sz w:val="22"/>
          <w:szCs w:val="22"/>
        </w:rPr>
        <w:t>polyradiculoneuropathy</w:t>
      </w:r>
      <w:proofErr w:type="spellEnd"/>
      <w:r w:rsidRPr="00A71F67">
        <w:rPr>
          <w:color w:val="333333"/>
          <w:sz w:val="22"/>
          <w:szCs w:val="22"/>
        </w:rPr>
        <w:t xml:space="preserve"> groups. The baseline characteristics were similar except for shorter duration of illness and higher proportion of facial palsy in IV immunoglobulin group. Hospital deaths, duration of mechanical ventilation, hospital stay, and </w:t>
      </w:r>
      <w:r w:rsidRPr="00A71F67">
        <w:rPr>
          <w:rStyle w:val="ej-keyword"/>
          <w:color w:val="333333"/>
          <w:sz w:val="22"/>
          <w:szCs w:val="22"/>
        </w:rPr>
        <w:t>outcome</w:t>
      </w:r>
      <w:r w:rsidRPr="00A71F67">
        <w:rPr>
          <w:color w:val="333333"/>
          <w:sz w:val="22"/>
          <w:szCs w:val="22"/>
        </w:rPr>
        <w:t> at 3 and 6 months were not different between the two groups. Children with acute motor axonal neuropathy had better recovery at 6 months on IV immunoglobulin (58.3% vs 11.1%; </w:t>
      </w:r>
      <w:r w:rsidRPr="00A71F67">
        <w:rPr>
          <w:rStyle w:val="Emphasis"/>
          <w:rFonts w:eastAsia="Tw Cen MT"/>
          <w:color w:val="333333"/>
          <w:sz w:val="22"/>
          <w:szCs w:val="22"/>
        </w:rPr>
        <w:t>p</w:t>
      </w:r>
      <w:r w:rsidRPr="00A71F67">
        <w:rPr>
          <w:color w:val="333333"/>
          <w:sz w:val="22"/>
          <w:szCs w:val="22"/>
        </w:rPr>
        <w:t xml:space="preserve"> = 0.03), but not those with acute inflammatory demyelinating </w:t>
      </w:r>
      <w:proofErr w:type="spellStart"/>
      <w:r w:rsidRPr="00A71F67">
        <w:rPr>
          <w:color w:val="333333"/>
          <w:sz w:val="22"/>
          <w:szCs w:val="22"/>
        </w:rPr>
        <w:t>polyradiculoneuropathy</w:t>
      </w:r>
      <w:proofErr w:type="spellEnd"/>
      <w:r w:rsidRPr="00A71F67">
        <w:rPr>
          <w:color w:val="333333"/>
          <w:sz w:val="22"/>
          <w:szCs w:val="22"/>
        </w:rPr>
        <w:t xml:space="preserve"> (58.3% vs 72.2%; </w:t>
      </w:r>
      <w:r w:rsidRPr="00A71F67">
        <w:rPr>
          <w:rStyle w:val="Emphasis"/>
          <w:rFonts w:eastAsia="Tw Cen MT"/>
          <w:color w:val="333333"/>
          <w:sz w:val="22"/>
          <w:szCs w:val="22"/>
        </w:rPr>
        <w:t>p</w:t>
      </w:r>
      <w:r w:rsidRPr="00A71F67">
        <w:rPr>
          <w:color w:val="333333"/>
          <w:sz w:val="22"/>
          <w:szCs w:val="22"/>
        </w:rPr>
        <w:t xml:space="preserve"> = 0.22). In </w:t>
      </w:r>
      <w:proofErr w:type="spellStart"/>
      <w:r w:rsidRPr="00A71F67">
        <w:rPr>
          <w:color w:val="333333"/>
          <w:sz w:val="22"/>
          <w:szCs w:val="22"/>
        </w:rPr>
        <w:t>nonambulatory</w:t>
      </w:r>
      <w:proofErr w:type="spellEnd"/>
      <w:r w:rsidRPr="00A71F67">
        <w:rPr>
          <w:color w:val="333333"/>
          <w:sz w:val="22"/>
          <w:szCs w:val="22"/>
        </w:rPr>
        <w:t xml:space="preserve"> </w:t>
      </w:r>
      <w:proofErr w:type="spellStart"/>
      <w:r w:rsidRPr="00A71F67">
        <w:rPr>
          <w:color w:val="333333"/>
          <w:sz w:val="22"/>
          <w:szCs w:val="22"/>
        </w:rPr>
        <w:t>Guillain-Barré</w:t>
      </w:r>
      <w:proofErr w:type="spellEnd"/>
      <w:r w:rsidRPr="00A71F67">
        <w:rPr>
          <w:color w:val="333333"/>
          <w:sz w:val="22"/>
          <w:szCs w:val="22"/>
        </w:rPr>
        <w:t xml:space="preserve"> syndrome children, complete recovery at 6 months was </w:t>
      </w:r>
      <w:r w:rsidRPr="00A71F67">
        <w:rPr>
          <w:color w:val="333333"/>
          <w:sz w:val="22"/>
          <w:szCs w:val="22"/>
        </w:rPr>
        <w:lastRenderedPageBreak/>
        <w:t>similar in IV immunoglobulin and non-IV immunoglobulin group (57.4% vs 57.1%; </w:t>
      </w:r>
      <w:r w:rsidRPr="00A71F67">
        <w:rPr>
          <w:rStyle w:val="Emphasis"/>
          <w:rFonts w:eastAsia="Tw Cen MT"/>
          <w:color w:val="333333"/>
          <w:sz w:val="22"/>
          <w:szCs w:val="22"/>
        </w:rPr>
        <w:t>p</w:t>
      </w:r>
      <w:r w:rsidRPr="00A71F67">
        <w:rPr>
          <w:color w:val="333333"/>
          <w:sz w:val="22"/>
          <w:szCs w:val="22"/>
        </w:rPr>
        <w:t> = 0.98).</w:t>
      </w:r>
    </w:p>
    <w:p w:rsidR="00A71F67" w:rsidRPr="00A71F67" w:rsidRDefault="00A71F67" w:rsidP="00A71F67">
      <w:pPr>
        <w:pStyle w:val="Heading3"/>
        <w:shd w:val="clear" w:color="auto" w:fill="F9F7F7"/>
        <w:jc w:val="both"/>
        <w:rPr>
          <w:rFonts w:ascii="Times New Roman" w:hAnsi="Times New Roman" w:cs="Times New Roman"/>
          <w:color w:val="353535"/>
          <w:sz w:val="22"/>
          <w:szCs w:val="22"/>
        </w:rPr>
      </w:pPr>
      <w:r w:rsidRPr="00A71F67">
        <w:rPr>
          <w:rFonts w:ascii="Times New Roman" w:hAnsi="Times New Roman" w:cs="Times New Roman"/>
          <w:color w:val="353535"/>
          <w:sz w:val="22"/>
          <w:szCs w:val="22"/>
        </w:rPr>
        <w:t>Conclusions: </w:t>
      </w:r>
    </w:p>
    <w:p w:rsidR="00A71F67" w:rsidRPr="00A71F67" w:rsidRDefault="00A71F67" w:rsidP="00A71F67">
      <w:pPr>
        <w:pStyle w:val="NormalWeb"/>
        <w:shd w:val="clear" w:color="auto" w:fill="F9F7F7"/>
        <w:spacing w:before="0" w:beforeAutospacing="0" w:after="150" w:afterAutospacing="0"/>
        <w:jc w:val="both"/>
        <w:rPr>
          <w:color w:val="333333"/>
          <w:sz w:val="22"/>
          <w:szCs w:val="22"/>
        </w:rPr>
      </w:pPr>
      <w:r w:rsidRPr="00A71F67">
        <w:rPr>
          <w:color w:val="333333"/>
          <w:sz w:val="22"/>
          <w:szCs w:val="22"/>
        </w:rPr>
        <w:t xml:space="preserve">In Indian children with </w:t>
      </w:r>
      <w:proofErr w:type="spellStart"/>
      <w:r w:rsidRPr="00A71F67">
        <w:rPr>
          <w:color w:val="333333"/>
          <w:sz w:val="22"/>
          <w:szCs w:val="22"/>
        </w:rPr>
        <w:t>Guillain-Barré</w:t>
      </w:r>
      <w:proofErr w:type="spellEnd"/>
      <w:r w:rsidRPr="00A71F67">
        <w:rPr>
          <w:color w:val="333333"/>
          <w:sz w:val="22"/>
          <w:szCs w:val="22"/>
        </w:rPr>
        <w:t xml:space="preserve"> syndrome, the </w:t>
      </w:r>
      <w:r w:rsidRPr="00A71F67">
        <w:rPr>
          <w:rStyle w:val="ej-keyword"/>
          <w:color w:val="333333"/>
          <w:sz w:val="22"/>
          <w:szCs w:val="22"/>
        </w:rPr>
        <w:t>outcome</w:t>
      </w:r>
      <w:r w:rsidRPr="00A71F67">
        <w:rPr>
          <w:color w:val="333333"/>
          <w:sz w:val="22"/>
          <w:szCs w:val="22"/>
        </w:rPr>
        <w:t> at 6 months in IV immunoglobulin treated group was similar to non-IV immunoglobulin group. Children with acute motor axonal neuropathy responded better to IV immunoglobulin.</w:t>
      </w:r>
    </w:p>
    <w:p w:rsidR="00AE3E37" w:rsidRPr="00A71F67" w:rsidRDefault="00A9710C" w:rsidP="00A71F67">
      <w:pPr>
        <w:pStyle w:val="Heading3"/>
        <w:spacing w:before="74"/>
        <w:jc w:val="both"/>
        <w:rPr>
          <w:rFonts w:ascii="Times New Roman" w:hAnsi="Times New Roman" w:cs="Times New Roman"/>
          <w:sz w:val="22"/>
          <w:szCs w:val="22"/>
        </w:rPr>
      </w:pPr>
      <w:r w:rsidRPr="00A71F67">
        <w:rPr>
          <w:rFonts w:ascii="Times New Roman" w:hAnsi="Times New Roman" w:cs="Times New Roman"/>
          <w:b w:val="0"/>
          <w:sz w:val="22"/>
          <w:szCs w:val="22"/>
        </w:rPr>
        <w:br w:type="column"/>
      </w:r>
      <w:r w:rsidRPr="00A71F67">
        <w:rPr>
          <w:rFonts w:ascii="Times New Roman" w:hAnsi="Times New Roman" w:cs="Times New Roman"/>
          <w:color w:val="BF5A14"/>
          <w:sz w:val="22"/>
          <w:szCs w:val="22"/>
        </w:rPr>
        <w:lastRenderedPageBreak/>
        <w:t>Image</w:t>
      </w:r>
    </w:p>
    <w:p w:rsidR="00AE3E37" w:rsidRPr="00A71F67" w:rsidRDefault="00A71F67" w:rsidP="00A71F67">
      <w:pPr>
        <w:pStyle w:val="BodyText"/>
        <w:spacing w:before="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A71F67">
        <w:rPr>
          <w:rFonts w:ascii="Times New Roman" w:hAnsi="Times New Roman" w:cs="Times New Roman"/>
          <w:noProof/>
          <w:sz w:val="22"/>
          <w:szCs w:val="22"/>
          <w:lang w:val="en-IN" w:eastAsia="en-IN"/>
        </w:rPr>
        <w:drawing>
          <wp:inline distT="0" distB="0" distL="0" distR="0" wp14:anchorId="1C60FCF5" wp14:editId="79526488">
            <wp:extent cx="2314575" cy="2323397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44326" cy="2353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1F67">
        <w:rPr>
          <w:rFonts w:ascii="Times New Roman" w:hAnsi="Times New Roman" w:cs="Times New Roman"/>
          <w:noProof/>
          <w:sz w:val="22"/>
          <w:szCs w:val="22"/>
          <w:lang w:val="en-IN" w:eastAsia="en-IN"/>
        </w:rPr>
        <w:lastRenderedPageBreak/>
        <w:drawing>
          <wp:inline distT="0" distB="0" distL="0" distR="0" wp14:anchorId="1B393BD5" wp14:editId="032516FE">
            <wp:extent cx="3554627" cy="1704975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9623" cy="1707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Pr="00A71F67" w:rsidRDefault="005973B9" w:rsidP="00A71F67">
      <w:pPr>
        <w:spacing w:line="204" w:lineRule="exact"/>
        <w:jc w:val="both"/>
        <w:rPr>
          <w:rFonts w:ascii="Times New Roman" w:hAnsi="Times New Roman" w:cs="Times New Roman"/>
        </w:rPr>
      </w:pPr>
      <w:r w:rsidRPr="00A71F67">
        <w:rPr>
          <w:rFonts w:ascii="Times New Roman" w:hAnsi="Times New Roman" w:cs="Times New Roman"/>
          <w:b/>
          <w:color w:val="BF5A14"/>
        </w:rPr>
        <w:br/>
      </w:r>
    </w:p>
    <w:p w:rsidR="00AE3E37" w:rsidRPr="00A71F67" w:rsidRDefault="008756E6" w:rsidP="00A71F67">
      <w:pPr>
        <w:spacing w:line="200" w:lineRule="exact"/>
        <w:jc w:val="both"/>
        <w:rPr>
          <w:rFonts w:ascii="Times New Roman" w:hAnsi="Times New Roman" w:cs="Times New Roman"/>
        </w:rPr>
        <w:sectPr w:rsidR="00AE3E37" w:rsidRPr="00A71F6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A71F67">
        <w:rPr>
          <w:rFonts w:ascii="Times New Roman" w:hAnsi="Times New Roman" w:cs="Times New Roman"/>
        </w:rPr>
        <w:t xml:space="preserve">   </w:t>
      </w:r>
    </w:p>
    <w:p w:rsidR="00AE3E37" w:rsidRPr="00A71F67" w:rsidRDefault="00AE3E37" w:rsidP="00A71F67">
      <w:pPr>
        <w:pStyle w:val="BodyText"/>
        <w:jc w:val="both"/>
        <w:rPr>
          <w:rFonts w:ascii="Times New Roman" w:hAnsi="Times New Roman" w:cs="Times New Roman"/>
          <w:sz w:val="22"/>
          <w:szCs w:val="22"/>
        </w:rPr>
      </w:pPr>
    </w:p>
    <w:p w:rsidR="00AE3E37" w:rsidRPr="00A71F67" w:rsidRDefault="00292ED9" w:rsidP="00A71F67">
      <w:pPr>
        <w:pStyle w:val="BodyText"/>
        <w:spacing w:line="40" w:lineRule="exact"/>
        <w:ind w:left="2202"/>
        <w:jc w:val="both"/>
        <w:rPr>
          <w:rFonts w:ascii="Times New Roman" w:hAnsi="Times New Roman" w:cs="Times New Roman"/>
          <w:sz w:val="22"/>
          <w:szCs w:val="22"/>
        </w:rPr>
      </w:pPr>
      <w:r w:rsidRPr="00A71F67">
        <w:rPr>
          <w:rFonts w:ascii="Times New Roman" w:hAnsi="Times New Roman" w:cs="Times New Roman"/>
          <w:noProof/>
          <w:sz w:val="22"/>
          <w:szCs w:val="22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97D3D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2A196B" w:rsidRPr="00A71F67" w:rsidRDefault="008756E6" w:rsidP="00A71F67">
      <w:pPr>
        <w:spacing w:before="92"/>
        <w:ind w:right="4234"/>
        <w:jc w:val="both"/>
        <w:rPr>
          <w:rFonts w:ascii="Times New Roman" w:hAnsi="Times New Roman" w:cs="Times New Roman"/>
          <w:noProof/>
        </w:rPr>
      </w:pPr>
      <w:r w:rsidRPr="00A71F67">
        <w:rPr>
          <w:rFonts w:ascii="Times New Roman" w:hAnsi="Times New Roman" w:cs="Times New Roman"/>
          <w:noProof/>
        </w:rPr>
        <w:t xml:space="preserve">    </w:t>
      </w:r>
      <w:r w:rsidR="002A196B" w:rsidRPr="00A71F67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2CEB4A82" wp14:editId="59962814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196B" w:rsidRPr="00A71F67">
        <w:rPr>
          <w:rFonts w:ascii="Times New Roman" w:hAnsi="Times New Roman" w:cs="Times New Roman"/>
          <w:noProof/>
        </w:rPr>
        <w:t xml:space="preserve">  </w:t>
      </w:r>
      <w:r w:rsidR="00A71F67" w:rsidRPr="00A71F67">
        <w:rPr>
          <w:rFonts w:ascii="Times New Roman" w:hAnsi="Times New Roman" w:cs="Times New Roman"/>
          <w:noProof/>
        </w:rPr>
        <w:t xml:space="preserve"> Recent publications </w:t>
      </w:r>
    </w:p>
    <w:p w:rsidR="00A71F67" w:rsidRPr="00A71F67" w:rsidRDefault="00A71F67" w:rsidP="00A71F67">
      <w:pPr>
        <w:pStyle w:val="ListParagraph"/>
        <w:widowControl/>
        <w:numPr>
          <w:ilvl w:val="0"/>
          <w:numId w:val="4"/>
        </w:numPr>
        <w:spacing w:before="0" w:line="240" w:lineRule="auto"/>
        <w:contextualSpacing/>
        <w:rPr>
          <w:rFonts w:ascii="Times New Roman" w:hAnsi="Times New Roman" w:cs="Times New Roman"/>
        </w:rPr>
      </w:pPr>
      <w:proofErr w:type="spellStart"/>
      <w:r w:rsidRPr="00A71F67">
        <w:rPr>
          <w:rFonts w:ascii="Times New Roman" w:hAnsi="Times New Roman" w:cs="Times New Roman"/>
          <w:color w:val="212121"/>
          <w:shd w:val="clear" w:color="auto" w:fill="FFFFFF"/>
        </w:rPr>
        <w:t>Misra</w:t>
      </w:r>
      <w:proofErr w:type="spellEnd"/>
      <w:r w:rsidRPr="00A71F67">
        <w:rPr>
          <w:rFonts w:ascii="Times New Roman" w:hAnsi="Times New Roman" w:cs="Times New Roman"/>
          <w:color w:val="212121"/>
          <w:shd w:val="clear" w:color="auto" w:fill="FFFFFF"/>
        </w:rPr>
        <w:t xml:space="preserve"> UK, Kumar M, </w:t>
      </w:r>
      <w:proofErr w:type="spellStart"/>
      <w:r w:rsidRPr="00A71F67">
        <w:rPr>
          <w:rFonts w:ascii="Times New Roman" w:hAnsi="Times New Roman" w:cs="Times New Roman"/>
          <w:color w:val="212121"/>
          <w:shd w:val="clear" w:color="auto" w:fill="FFFFFF"/>
        </w:rPr>
        <w:t>Kalita</w:t>
      </w:r>
      <w:proofErr w:type="spellEnd"/>
      <w:r w:rsidRPr="00A71F67">
        <w:rPr>
          <w:rFonts w:ascii="Times New Roman" w:hAnsi="Times New Roman" w:cs="Times New Roman"/>
          <w:color w:val="212121"/>
          <w:shd w:val="clear" w:color="auto" w:fill="FFFFFF"/>
        </w:rPr>
        <w:t xml:space="preserve"> J. Standard versus sequential anti-tubercular treatment in patients with tuberculous meningitis: a randomized controlled trial. Trans R </w:t>
      </w:r>
      <w:proofErr w:type="spellStart"/>
      <w:r w:rsidRPr="00A71F67">
        <w:rPr>
          <w:rFonts w:ascii="Times New Roman" w:hAnsi="Times New Roman" w:cs="Times New Roman"/>
          <w:color w:val="212121"/>
          <w:shd w:val="clear" w:color="auto" w:fill="FFFFFF"/>
        </w:rPr>
        <w:t>Soc</w:t>
      </w:r>
      <w:proofErr w:type="spellEnd"/>
      <w:r w:rsidRPr="00A71F67">
        <w:rPr>
          <w:rFonts w:ascii="Times New Roman" w:hAnsi="Times New Roman" w:cs="Times New Roman"/>
          <w:color w:val="212121"/>
          <w:shd w:val="clear" w:color="auto" w:fill="FFFFFF"/>
        </w:rPr>
        <w:t xml:space="preserve"> Trop Med </w:t>
      </w:r>
      <w:proofErr w:type="spellStart"/>
      <w:r w:rsidRPr="00A71F67">
        <w:rPr>
          <w:rFonts w:ascii="Times New Roman" w:hAnsi="Times New Roman" w:cs="Times New Roman"/>
          <w:color w:val="212121"/>
          <w:shd w:val="clear" w:color="auto" w:fill="FFFFFF"/>
        </w:rPr>
        <w:t>Hyg</w:t>
      </w:r>
      <w:proofErr w:type="spellEnd"/>
      <w:r w:rsidRPr="00A71F67">
        <w:rPr>
          <w:rFonts w:ascii="Times New Roman" w:hAnsi="Times New Roman" w:cs="Times New Roman"/>
          <w:color w:val="212121"/>
          <w:shd w:val="clear" w:color="auto" w:fill="FFFFFF"/>
        </w:rPr>
        <w:t>. 2021 Jan 7;115(1):94-102. </w:t>
      </w:r>
    </w:p>
    <w:p w:rsidR="00A71F67" w:rsidRPr="00A71F67" w:rsidRDefault="00A71F67" w:rsidP="00A71F67">
      <w:pPr>
        <w:pStyle w:val="ListParagraph"/>
        <w:widowControl/>
        <w:numPr>
          <w:ilvl w:val="0"/>
          <w:numId w:val="4"/>
        </w:numPr>
        <w:spacing w:before="0" w:line="240" w:lineRule="auto"/>
        <w:contextualSpacing/>
        <w:rPr>
          <w:rFonts w:ascii="Times New Roman" w:hAnsi="Times New Roman" w:cs="Times New Roman"/>
          <w:bCs/>
        </w:rPr>
      </w:pPr>
      <w:r w:rsidRPr="00A71F67">
        <w:rPr>
          <w:rFonts w:ascii="Times New Roman" w:hAnsi="Times New Roman" w:cs="Times New Roman"/>
          <w:color w:val="212121"/>
          <w:shd w:val="clear" w:color="auto" w:fill="FFFFFF"/>
        </w:rPr>
        <w:t xml:space="preserve">Kumar M, </w:t>
      </w:r>
      <w:proofErr w:type="spellStart"/>
      <w:r w:rsidRPr="00A71F67">
        <w:rPr>
          <w:rFonts w:ascii="Times New Roman" w:hAnsi="Times New Roman" w:cs="Times New Roman"/>
          <w:color w:val="212121"/>
          <w:shd w:val="clear" w:color="auto" w:fill="FFFFFF"/>
        </w:rPr>
        <w:t>Dhar</w:t>
      </w:r>
      <w:proofErr w:type="spellEnd"/>
      <w:r w:rsidRPr="00A71F67">
        <w:rPr>
          <w:rFonts w:ascii="Times New Roman" w:hAnsi="Times New Roman" w:cs="Times New Roman"/>
          <w:color w:val="212121"/>
          <w:shd w:val="clear" w:color="auto" w:fill="FFFFFF"/>
        </w:rPr>
        <w:t xml:space="preserve"> N, Tiwari A, Siddiqui MS. Comparison of patterns of infarction in TB and </w:t>
      </w:r>
      <w:proofErr w:type="spellStart"/>
      <w:r w:rsidRPr="00A71F67">
        <w:rPr>
          <w:rFonts w:ascii="Times New Roman" w:hAnsi="Times New Roman" w:cs="Times New Roman"/>
          <w:color w:val="212121"/>
          <w:shd w:val="clear" w:color="auto" w:fill="FFFFFF"/>
        </w:rPr>
        <w:t>cryptococcal</w:t>
      </w:r>
      <w:proofErr w:type="spellEnd"/>
      <w:r w:rsidRPr="00A71F67">
        <w:rPr>
          <w:rFonts w:ascii="Times New Roman" w:hAnsi="Times New Roman" w:cs="Times New Roman"/>
          <w:color w:val="212121"/>
          <w:shd w:val="clear" w:color="auto" w:fill="FFFFFF"/>
        </w:rPr>
        <w:t xml:space="preserve"> meningitis. Trans R </w:t>
      </w:r>
      <w:proofErr w:type="spellStart"/>
      <w:r w:rsidRPr="00A71F67">
        <w:rPr>
          <w:rFonts w:ascii="Times New Roman" w:hAnsi="Times New Roman" w:cs="Times New Roman"/>
          <w:color w:val="212121"/>
          <w:shd w:val="clear" w:color="auto" w:fill="FFFFFF"/>
        </w:rPr>
        <w:t>Soc</w:t>
      </w:r>
      <w:proofErr w:type="spellEnd"/>
      <w:r w:rsidRPr="00A71F67">
        <w:rPr>
          <w:rFonts w:ascii="Times New Roman" w:hAnsi="Times New Roman" w:cs="Times New Roman"/>
          <w:color w:val="212121"/>
          <w:shd w:val="clear" w:color="auto" w:fill="FFFFFF"/>
        </w:rPr>
        <w:t xml:space="preserve"> Trop Med </w:t>
      </w:r>
      <w:proofErr w:type="spellStart"/>
      <w:r w:rsidRPr="00A71F67">
        <w:rPr>
          <w:rFonts w:ascii="Times New Roman" w:hAnsi="Times New Roman" w:cs="Times New Roman"/>
          <w:color w:val="212121"/>
          <w:shd w:val="clear" w:color="auto" w:fill="FFFFFF"/>
        </w:rPr>
        <w:t>Hyg</w:t>
      </w:r>
      <w:proofErr w:type="spellEnd"/>
      <w:r w:rsidRPr="00A71F67">
        <w:rPr>
          <w:rFonts w:ascii="Times New Roman" w:hAnsi="Times New Roman" w:cs="Times New Roman"/>
          <w:color w:val="212121"/>
          <w:shd w:val="clear" w:color="auto" w:fill="FFFFFF"/>
        </w:rPr>
        <w:t xml:space="preserve">. 2021 May </w:t>
      </w:r>
      <w:proofErr w:type="gramStart"/>
      <w:r w:rsidRPr="00A71F67">
        <w:rPr>
          <w:rFonts w:ascii="Times New Roman" w:hAnsi="Times New Roman" w:cs="Times New Roman"/>
          <w:color w:val="212121"/>
          <w:shd w:val="clear" w:color="auto" w:fill="FFFFFF"/>
        </w:rPr>
        <w:t>7:trab</w:t>
      </w:r>
      <w:proofErr w:type="gramEnd"/>
      <w:r w:rsidRPr="00A71F67">
        <w:rPr>
          <w:rFonts w:ascii="Times New Roman" w:hAnsi="Times New Roman" w:cs="Times New Roman"/>
          <w:color w:val="212121"/>
          <w:shd w:val="clear" w:color="auto" w:fill="FFFFFF"/>
        </w:rPr>
        <w:t>070.</w:t>
      </w:r>
      <w:r w:rsidRPr="00A71F67">
        <w:rPr>
          <w:rFonts w:ascii="Times New Roman" w:hAnsi="Times New Roman" w:cs="Times New Roman"/>
          <w:bCs/>
        </w:rPr>
        <w:t xml:space="preserve"> </w:t>
      </w:r>
    </w:p>
    <w:p w:rsidR="00A71F67" w:rsidRPr="00A71F67" w:rsidRDefault="00A71F67" w:rsidP="00A71F67">
      <w:pPr>
        <w:pStyle w:val="ListParagraph"/>
        <w:widowControl/>
        <w:numPr>
          <w:ilvl w:val="0"/>
          <w:numId w:val="4"/>
        </w:numPr>
        <w:spacing w:before="0" w:line="240" w:lineRule="auto"/>
        <w:contextualSpacing/>
        <w:rPr>
          <w:rFonts w:ascii="Times New Roman" w:hAnsi="Times New Roman" w:cs="Times New Roman"/>
          <w:bCs/>
        </w:rPr>
      </w:pPr>
      <w:proofErr w:type="spellStart"/>
      <w:r w:rsidRPr="00A71F67">
        <w:rPr>
          <w:rFonts w:ascii="Times New Roman" w:hAnsi="Times New Roman" w:cs="Times New Roman"/>
          <w:color w:val="212121"/>
          <w:shd w:val="clear" w:color="auto" w:fill="FFFFFF"/>
        </w:rPr>
        <w:t>Kalita</w:t>
      </w:r>
      <w:proofErr w:type="spellEnd"/>
      <w:r w:rsidRPr="00A71F67">
        <w:rPr>
          <w:rFonts w:ascii="Times New Roman" w:hAnsi="Times New Roman" w:cs="Times New Roman"/>
          <w:color w:val="212121"/>
          <w:shd w:val="clear" w:color="auto" w:fill="FFFFFF"/>
        </w:rPr>
        <w:t xml:space="preserve"> J, </w:t>
      </w:r>
      <w:proofErr w:type="spellStart"/>
      <w:r w:rsidRPr="00A71F67">
        <w:rPr>
          <w:rFonts w:ascii="Times New Roman" w:hAnsi="Times New Roman" w:cs="Times New Roman"/>
          <w:color w:val="212121"/>
          <w:shd w:val="clear" w:color="auto" w:fill="FFFFFF"/>
        </w:rPr>
        <w:t>Misra</w:t>
      </w:r>
      <w:proofErr w:type="spellEnd"/>
      <w:r w:rsidRPr="00A71F67">
        <w:rPr>
          <w:rFonts w:ascii="Times New Roman" w:hAnsi="Times New Roman" w:cs="Times New Roman"/>
          <w:color w:val="212121"/>
          <w:shd w:val="clear" w:color="auto" w:fill="FFFFFF"/>
        </w:rPr>
        <w:t xml:space="preserve"> UK, Kumar M, Bansal R, </w:t>
      </w:r>
      <w:proofErr w:type="spellStart"/>
      <w:r w:rsidRPr="00A71F67">
        <w:rPr>
          <w:rFonts w:ascii="Times New Roman" w:hAnsi="Times New Roman" w:cs="Times New Roman"/>
          <w:color w:val="212121"/>
          <w:shd w:val="clear" w:color="auto" w:fill="FFFFFF"/>
        </w:rPr>
        <w:t>Uniyal</w:t>
      </w:r>
      <w:proofErr w:type="spellEnd"/>
      <w:r w:rsidRPr="00A71F67">
        <w:rPr>
          <w:rFonts w:ascii="Times New Roman" w:hAnsi="Times New Roman" w:cs="Times New Roman"/>
          <w:color w:val="212121"/>
          <w:shd w:val="clear" w:color="auto" w:fill="FFFFFF"/>
        </w:rPr>
        <w:t xml:space="preserve"> R. Is </w:t>
      </w:r>
      <w:proofErr w:type="spellStart"/>
      <w:r w:rsidRPr="00A71F67">
        <w:rPr>
          <w:rFonts w:ascii="Times New Roman" w:hAnsi="Times New Roman" w:cs="Times New Roman"/>
          <w:color w:val="212121"/>
          <w:shd w:val="clear" w:color="auto" w:fill="FFFFFF"/>
        </w:rPr>
        <w:t>Palinopsia</w:t>
      </w:r>
      <w:proofErr w:type="spellEnd"/>
      <w:r w:rsidRPr="00A71F67">
        <w:rPr>
          <w:rFonts w:ascii="Times New Roman" w:hAnsi="Times New Roman" w:cs="Times New Roman"/>
          <w:color w:val="212121"/>
          <w:shd w:val="clear" w:color="auto" w:fill="FFFFFF"/>
        </w:rPr>
        <w:t xml:space="preserve"> in </w:t>
      </w:r>
      <w:proofErr w:type="spellStart"/>
      <w:r w:rsidRPr="00A71F67">
        <w:rPr>
          <w:rFonts w:ascii="Times New Roman" w:hAnsi="Times New Roman" w:cs="Times New Roman"/>
          <w:color w:val="212121"/>
          <w:shd w:val="clear" w:color="auto" w:fill="FFFFFF"/>
        </w:rPr>
        <w:t>Migraineurs</w:t>
      </w:r>
      <w:proofErr w:type="spellEnd"/>
      <w:r w:rsidRPr="00A71F67">
        <w:rPr>
          <w:rFonts w:ascii="Times New Roman" w:hAnsi="Times New Roman" w:cs="Times New Roman"/>
          <w:color w:val="212121"/>
          <w:shd w:val="clear" w:color="auto" w:fill="FFFFFF"/>
        </w:rPr>
        <w:t xml:space="preserve"> a Phenomenon of Impaired Habituation of Visual Cortical Neurons? </w:t>
      </w:r>
      <w:proofErr w:type="spellStart"/>
      <w:r w:rsidRPr="00A71F67">
        <w:rPr>
          <w:rFonts w:ascii="Times New Roman" w:hAnsi="Times New Roman" w:cs="Times New Roman"/>
          <w:color w:val="212121"/>
          <w:shd w:val="clear" w:color="auto" w:fill="FFFFFF"/>
        </w:rPr>
        <w:t>Clin</w:t>
      </w:r>
      <w:proofErr w:type="spellEnd"/>
      <w:r w:rsidRPr="00A71F67">
        <w:rPr>
          <w:rFonts w:ascii="Times New Roman" w:hAnsi="Times New Roman" w:cs="Times New Roman"/>
          <w:color w:val="212121"/>
          <w:shd w:val="clear" w:color="auto" w:fill="FFFFFF"/>
        </w:rPr>
        <w:t xml:space="preserve"> EEG </w:t>
      </w:r>
      <w:proofErr w:type="spellStart"/>
      <w:r w:rsidRPr="00A71F67">
        <w:rPr>
          <w:rFonts w:ascii="Times New Roman" w:hAnsi="Times New Roman" w:cs="Times New Roman"/>
          <w:color w:val="212121"/>
          <w:shd w:val="clear" w:color="auto" w:fill="FFFFFF"/>
        </w:rPr>
        <w:t>Neurosci</w:t>
      </w:r>
      <w:proofErr w:type="spellEnd"/>
      <w:r w:rsidRPr="00A71F67">
        <w:rPr>
          <w:rFonts w:ascii="Times New Roman" w:hAnsi="Times New Roman" w:cs="Times New Roman"/>
          <w:color w:val="212121"/>
          <w:shd w:val="clear" w:color="auto" w:fill="FFFFFF"/>
        </w:rPr>
        <w:t>. 2021 Mar 1:1550059421991707.</w:t>
      </w:r>
    </w:p>
    <w:p w:rsidR="00A71F67" w:rsidRPr="00A71F67" w:rsidRDefault="00A71F67" w:rsidP="00A71F67">
      <w:pPr>
        <w:pStyle w:val="ListParagraph"/>
        <w:widowControl/>
        <w:numPr>
          <w:ilvl w:val="0"/>
          <w:numId w:val="4"/>
        </w:numPr>
        <w:spacing w:before="0" w:line="240" w:lineRule="auto"/>
        <w:contextualSpacing/>
        <w:rPr>
          <w:rFonts w:ascii="Times New Roman" w:hAnsi="Times New Roman" w:cs="Times New Roman"/>
          <w:bCs/>
        </w:rPr>
      </w:pPr>
      <w:proofErr w:type="spellStart"/>
      <w:r w:rsidRPr="00A71F67">
        <w:rPr>
          <w:rFonts w:ascii="Times New Roman" w:hAnsi="Times New Roman" w:cs="Times New Roman"/>
          <w:color w:val="212121"/>
          <w:shd w:val="clear" w:color="auto" w:fill="FFFFFF"/>
        </w:rPr>
        <w:t>Manchanda</w:t>
      </w:r>
      <w:proofErr w:type="spellEnd"/>
      <w:r w:rsidRPr="00A71F67">
        <w:rPr>
          <w:rFonts w:ascii="Times New Roman" w:hAnsi="Times New Roman" w:cs="Times New Roman"/>
          <w:color w:val="212121"/>
          <w:shd w:val="clear" w:color="auto" w:fill="FFFFFF"/>
        </w:rPr>
        <w:t xml:space="preserve"> R, </w:t>
      </w:r>
      <w:proofErr w:type="spellStart"/>
      <w:r w:rsidRPr="00A71F67">
        <w:rPr>
          <w:rFonts w:ascii="Times New Roman" w:hAnsi="Times New Roman" w:cs="Times New Roman"/>
          <w:color w:val="212121"/>
          <w:shd w:val="clear" w:color="auto" w:fill="FFFFFF"/>
        </w:rPr>
        <w:t>D</w:t>
      </w:r>
      <w:bookmarkStart w:id="0" w:name="_GoBack"/>
      <w:bookmarkEnd w:id="0"/>
      <w:r w:rsidRPr="00A71F67">
        <w:rPr>
          <w:rFonts w:ascii="Times New Roman" w:hAnsi="Times New Roman" w:cs="Times New Roman"/>
          <w:color w:val="212121"/>
          <w:shd w:val="clear" w:color="auto" w:fill="FFFFFF"/>
        </w:rPr>
        <w:t>har</w:t>
      </w:r>
      <w:proofErr w:type="spellEnd"/>
      <w:r w:rsidRPr="00A71F67">
        <w:rPr>
          <w:rFonts w:ascii="Times New Roman" w:hAnsi="Times New Roman" w:cs="Times New Roman"/>
          <w:color w:val="212121"/>
          <w:shd w:val="clear" w:color="auto" w:fill="FFFFFF"/>
        </w:rPr>
        <w:t xml:space="preserve"> N, Kumar M, Kumar N, Tiwari A. Thickened sural nerve in Hansen's disease. QJM. 2021 May 19;114(3):202-203.</w:t>
      </w:r>
    </w:p>
    <w:p w:rsidR="00A71F67" w:rsidRPr="00A71F67" w:rsidRDefault="00A71F67" w:rsidP="00A71F67">
      <w:pPr>
        <w:pStyle w:val="ListParagraph"/>
        <w:numPr>
          <w:ilvl w:val="0"/>
          <w:numId w:val="4"/>
        </w:numPr>
        <w:tabs>
          <w:tab w:val="left" w:pos="1609"/>
          <w:tab w:val="left" w:pos="1610"/>
        </w:tabs>
        <w:autoSpaceDE w:val="0"/>
        <w:autoSpaceDN w:val="0"/>
        <w:spacing w:before="42" w:line="240" w:lineRule="auto"/>
        <w:jc w:val="left"/>
        <w:rPr>
          <w:rFonts w:ascii="Times New Roman" w:hAnsi="Times New Roman" w:cs="Times New Roman"/>
          <w:bCs/>
          <w:color w:val="000000" w:themeColor="text1"/>
        </w:rPr>
      </w:pPr>
      <w:r w:rsidRPr="00A71F67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Kumar R, </w:t>
      </w:r>
      <w:proofErr w:type="spellStart"/>
      <w:r w:rsidRPr="00A71F67">
        <w:rPr>
          <w:rFonts w:ascii="Times New Roman" w:hAnsi="Times New Roman" w:cs="Times New Roman"/>
          <w:color w:val="000000" w:themeColor="text1"/>
          <w:shd w:val="clear" w:color="auto" w:fill="FFFFFF"/>
        </w:rPr>
        <w:t>Kataria</w:t>
      </w:r>
      <w:proofErr w:type="spellEnd"/>
      <w:r w:rsidRPr="00A71F67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N, Kumar N, </w:t>
      </w:r>
      <w:r w:rsidRPr="00A71F67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Kumar M</w:t>
      </w:r>
      <w:r w:rsidRPr="00A71F67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A71F67">
        <w:rPr>
          <w:rFonts w:ascii="Times New Roman" w:hAnsi="Times New Roman" w:cs="Times New Roman"/>
          <w:color w:val="000000" w:themeColor="text1"/>
          <w:shd w:val="clear" w:color="auto" w:fill="FFFFFF"/>
        </w:rPr>
        <w:t>Poststroke</w:t>
      </w:r>
      <w:proofErr w:type="spellEnd"/>
      <w:r w:rsidRPr="00A71F67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depression among stroke survivors in sub-Himalayan region.</w:t>
      </w:r>
      <w:r w:rsidRPr="00A71F67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 J Family Med Prim Care (accepted, march).</w:t>
      </w:r>
    </w:p>
    <w:p w:rsidR="002A196B" w:rsidRPr="00A71F67" w:rsidRDefault="002A196B" w:rsidP="00A71F67">
      <w:pPr>
        <w:spacing w:before="92"/>
        <w:ind w:right="4234"/>
        <w:jc w:val="both"/>
        <w:rPr>
          <w:rFonts w:ascii="Times New Roman" w:hAnsi="Times New Roman" w:cs="Times New Roman"/>
          <w:noProof/>
        </w:rPr>
      </w:pPr>
      <w:r w:rsidRPr="00A71F67">
        <w:rPr>
          <w:rFonts w:ascii="Times New Roman" w:hAnsi="Times New Roman" w:cs="Times New Roman"/>
          <w:noProof/>
        </w:rPr>
        <w:t xml:space="preserve">   </w:t>
      </w:r>
    </w:p>
    <w:p w:rsidR="00AE3E37" w:rsidRPr="00A71F67" w:rsidRDefault="002A196B" w:rsidP="00A71F67">
      <w:pPr>
        <w:spacing w:before="92"/>
        <w:ind w:right="4234"/>
        <w:jc w:val="both"/>
        <w:rPr>
          <w:rFonts w:ascii="Times New Roman" w:hAnsi="Times New Roman" w:cs="Times New Roman"/>
        </w:rPr>
      </w:pPr>
      <w:r w:rsidRPr="00A71F67">
        <w:rPr>
          <w:rFonts w:ascii="Times New Roman" w:hAnsi="Times New Roman" w:cs="Times New Roman"/>
          <w:noProof/>
        </w:rPr>
        <w:t xml:space="preserve">   </w:t>
      </w:r>
      <w:r w:rsidR="00A9710C" w:rsidRPr="00A71F67">
        <w:rPr>
          <w:rFonts w:ascii="Times New Roman" w:hAnsi="Times New Roman" w:cs="Times New Roman"/>
          <w:color w:val="BF5A14"/>
        </w:rPr>
        <w:t>Biography</w:t>
      </w:r>
      <w:r w:rsidR="00404E5B" w:rsidRPr="00A71F67">
        <w:rPr>
          <w:rFonts w:ascii="Times New Roman" w:hAnsi="Times New Roman" w:cs="Times New Roman"/>
          <w:color w:val="BF5A14"/>
        </w:rPr>
        <w:t xml:space="preserve"> (</w:t>
      </w:r>
      <w:proofErr w:type="gramStart"/>
      <w:r w:rsidR="00404E5B" w:rsidRPr="00A71F67">
        <w:rPr>
          <w:rFonts w:ascii="Times New Roman" w:hAnsi="Times New Roman" w:cs="Times New Roman"/>
          <w:color w:val="BF5A14"/>
        </w:rPr>
        <w:t>150 word</w:t>
      </w:r>
      <w:proofErr w:type="gramEnd"/>
      <w:r w:rsidR="00404E5B" w:rsidRPr="00A71F67">
        <w:rPr>
          <w:rFonts w:ascii="Times New Roman" w:hAnsi="Times New Roman" w:cs="Times New Roman"/>
          <w:color w:val="BF5A14"/>
        </w:rPr>
        <w:t xml:space="preserve"> limit)</w:t>
      </w:r>
    </w:p>
    <w:p w:rsidR="00A71F67" w:rsidRPr="00A71F67" w:rsidRDefault="00A71F67" w:rsidP="00A71F67">
      <w:pPr>
        <w:spacing w:before="62"/>
        <w:ind w:right="4235"/>
        <w:rPr>
          <w:rFonts w:ascii="Times New Roman" w:hAnsi="Times New Roman" w:cs="Times New Roman"/>
        </w:rPr>
      </w:pPr>
      <w:proofErr w:type="spellStart"/>
      <w:r w:rsidRPr="00A71F67">
        <w:rPr>
          <w:rFonts w:ascii="Times New Roman" w:hAnsi="Times New Roman" w:cs="Times New Roman"/>
        </w:rPr>
        <w:t>Dr</w:t>
      </w:r>
      <w:proofErr w:type="spellEnd"/>
      <w:r w:rsidRPr="00A71F67">
        <w:rPr>
          <w:rFonts w:ascii="Times New Roman" w:hAnsi="Times New Roman" w:cs="Times New Roman"/>
        </w:rPr>
        <w:t xml:space="preserve"> </w:t>
      </w:r>
      <w:proofErr w:type="spellStart"/>
      <w:r w:rsidRPr="00A71F67">
        <w:rPr>
          <w:rFonts w:ascii="Times New Roman" w:hAnsi="Times New Roman" w:cs="Times New Roman"/>
        </w:rPr>
        <w:t>Mritunjai</w:t>
      </w:r>
      <w:proofErr w:type="spellEnd"/>
      <w:r w:rsidRPr="00A71F67">
        <w:rPr>
          <w:rFonts w:ascii="Times New Roman" w:hAnsi="Times New Roman" w:cs="Times New Roman"/>
        </w:rPr>
        <w:t xml:space="preserve"> Singh is currently working as an assistant Professor of neurology, AIIMS, </w:t>
      </w:r>
      <w:proofErr w:type="spellStart"/>
      <w:r w:rsidRPr="00A71F67">
        <w:rPr>
          <w:rFonts w:ascii="Times New Roman" w:hAnsi="Times New Roman" w:cs="Times New Roman"/>
        </w:rPr>
        <w:t>Rishikesh</w:t>
      </w:r>
      <w:proofErr w:type="spellEnd"/>
      <w:r w:rsidRPr="00A71F67">
        <w:rPr>
          <w:rFonts w:ascii="Times New Roman" w:hAnsi="Times New Roman" w:cs="Times New Roman"/>
        </w:rPr>
        <w:t xml:space="preserve">, </w:t>
      </w:r>
      <w:r w:rsidRPr="00A71F67">
        <w:rPr>
          <w:rFonts w:ascii="Times New Roman" w:hAnsi="Times New Roman" w:cs="Times New Roman"/>
        </w:rPr>
        <w:t>He has special interest in tropical neurology, nerve muscle disorders, stroke,</w:t>
      </w:r>
      <w:r w:rsidRPr="00A71F67">
        <w:rPr>
          <w:rFonts w:ascii="Times New Roman" w:hAnsi="Times New Roman" w:cs="Times New Roman"/>
        </w:rPr>
        <w:t xml:space="preserve"> </w:t>
      </w:r>
      <w:r w:rsidRPr="00A71F67">
        <w:rPr>
          <w:rFonts w:ascii="Times New Roman" w:hAnsi="Times New Roman" w:cs="Times New Roman"/>
        </w:rPr>
        <w:t>neuro-electrophysiolo</w:t>
      </w:r>
      <w:r w:rsidRPr="00A71F67">
        <w:rPr>
          <w:rFonts w:ascii="Times New Roman" w:hAnsi="Times New Roman" w:cs="Times New Roman"/>
        </w:rPr>
        <w:t xml:space="preserve">gy and critical care neurology. </w:t>
      </w:r>
      <w:r w:rsidRPr="00A71F67">
        <w:rPr>
          <w:rFonts w:ascii="Times New Roman" w:hAnsi="Times New Roman" w:cs="Times New Roman"/>
        </w:rPr>
        <w:t>He has published 23 scientific articles in peer revi</w:t>
      </w:r>
      <w:r w:rsidRPr="00A71F67">
        <w:rPr>
          <w:rFonts w:ascii="Times New Roman" w:hAnsi="Times New Roman" w:cs="Times New Roman"/>
        </w:rPr>
        <w:t xml:space="preserve">ewed international and national </w:t>
      </w:r>
      <w:r w:rsidRPr="00A71F67">
        <w:rPr>
          <w:rFonts w:ascii="Times New Roman" w:hAnsi="Times New Roman" w:cs="Times New Roman"/>
        </w:rPr>
        <w:t xml:space="preserve">journals in the field of tuberculous meningitis, stroke, </w:t>
      </w:r>
      <w:proofErr w:type="spellStart"/>
      <w:r w:rsidRPr="00A71F67">
        <w:rPr>
          <w:rFonts w:ascii="Times New Roman" w:hAnsi="Times New Roman" w:cs="Times New Roman"/>
        </w:rPr>
        <w:t>Guillian</w:t>
      </w:r>
      <w:proofErr w:type="spellEnd"/>
      <w:r w:rsidRPr="00A71F67">
        <w:rPr>
          <w:rFonts w:ascii="Times New Roman" w:hAnsi="Times New Roman" w:cs="Times New Roman"/>
        </w:rPr>
        <w:t xml:space="preserve"> Barre syndrome.</w:t>
      </w:r>
    </w:p>
    <w:p w:rsidR="00AE3E37" w:rsidRPr="00A71F67" w:rsidRDefault="00A71F67" w:rsidP="00A71F67">
      <w:pPr>
        <w:spacing w:before="62"/>
        <w:ind w:right="4235"/>
        <w:jc w:val="both"/>
        <w:rPr>
          <w:rFonts w:ascii="Times New Roman" w:hAnsi="Times New Roman" w:cs="Times New Roman"/>
        </w:rPr>
      </w:pPr>
      <w:r w:rsidRPr="00A71F67">
        <w:rPr>
          <w:rFonts w:ascii="Times New Roman" w:hAnsi="Times New Roman" w:cs="Times New Roman"/>
        </w:rPr>
        <w:t xml:space="preserve"> </w:t>
      </w:r>
      <w:r w:rsidR="00A9710C" w:rsidRPr="00A71F67">
        <w:rPr>
          <w:rFonts w:ascii="Times New Roman" w:hAnsi="Times New Roman" w:cs="Times New Roman"/>
        </w:rPr>
        <w:t xml:space="preserve">Email: </w:t>
      </w:r>
      <w:hyperlink r:id="rId12" w:history="1">
        <w:r w:rsidRPr="00A71F67">
          <w:rPr>
            <w:rStyle w:val="Hyperlink"/>
            <w:rFonts w:ascii="Times New Roman" w:hAnsi="Times New Roman" w:cs="Times New Roman"/>
          </w:rPr>
          <w:t>mritunjaikumar@gmail.com</w:t>
        </w:r>
      </w:hyperlink>
    </w:p>
    <w:p w:rsidR="00AE3E37" w:rsidRPr="00A71F67" w:rsidRDefault="00292ED9" w:rsidP="00A71F67">
      <w:pPr>
        <w:pStyle w:val="BodyText"/>
        <w:spacing w:before="2"/>
        <w:jc w:val="both"/>
        <w:rPr>
          <w:rFonts w:ascii="Times New Roman" w:hAnsi="Times New Roman" w:cs="Times New Roman"/>
          <w:sz w:val="22"/>
          <w:szCs w:val="22"/>
        </w:rPr>
      </w:pPr>
      <w:r w:rsidRPr="00A71F67">
        <w:rPr>
          <w:rFonts w:ascii="Times New Roman" w:hAnsi="Times New Roman" w:cs="Times New Roman"/>
          <w:noProof/>
          <w:sz w:val="22"/>
          <w:szCs w:val="22"/>
          <w:lang w:val="en-IN" w:eastAsia="en-IN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692137" id="Line 3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A71F67" w:rsidRDefault="00AE3E37" w:rsidP="00A71F67">
      <w:pPr>
        <w:pStyle w:val="BodyText"/>
        <w:jc w:val="both"/>
        <w:rPr>
          <w:rFonts w:ascii="Times New Roman" w:hAnsi="Times New Roman" w:cs="Times New Roman"/>
          <w:sz w:val="22"/>
          <w:szCs w:val="22"/>
        </w:rPr>
      </w:pPr>
    </w:p>
    <w:p w:rsidR="00AE3E37" w:rsidRPr="00A71F67" w:rsidRDefault="00AE3E37" w:rsidP="00A71F67">
      <w:pPr>
        <w:pStyle w:val="BodyText"/>
        <w:jc w:val="both"/>
        <w:rPr>
          <w:rFonts w:ascii="Times New Roman" w:hAnsi="Times New Roman" w:cs="Times New Roman"/>
          <w:sz w:val="22"/>
          <w:szCs w:val="22"/>
        </w:rPr>
      </w:pPr>
    </w:p>
    <w:p w:rsidR="00AE3E37" w:rsidRPr="00A71F67" w:rsidRDefault="00AE3E37" w:rsidP="00A71F67">
      <w:pPr>
        <w:pStyle w:val="BodyText"/>
        <w:spacing w:before="7"/>
        <w:jc w:val="both"/>
        <w:rPr>
          <w:rFonts w:ascii="Times New Roman" w:hAnsi="Times New Roman" w:cs="Times New Roman"/>
          <w:sz w:val="22"/>
          <w:szCs w:val="22"/>
        </w:rPr>
      </w:pPr>
    </w:p>
    <w:p w:rsidR="00AE3E37" w:rsidRPr="00A71F67" w:rsidRDefault="00A9710C" w:rsidP="00A71F67">
      <w:pPr>
        <w:spacing w:before="39"/>
        <w:ind w:left="100"/>
        <w:jc w:val="both"/>
        <w:rPr>
          <w:rFonts w:ascii="Times New Roman" w:hAnsi="Times New Roman" w:cs="Times New Roman"/>
          <w:b/>
        </w:rPr>
      </w:pPr>
      <w:r w:rsidRPr="00A71F67">
        <w:rPr>
          <w:rFonts w:ascii="Times New Roman" w:hAnsi="Times New Roman" w:cs="Times New Roman"/>
          <w:b/>
        </w:rPr>
        <w:t>Notes/Comments:</w:t>
      </w:r>
    </w:p>
    <w:p w:rsidR="00AE3E37" w:rsidRPr="00A71F67" w:rsidRDefault="00AE3E37" w:rsidP="00A71F67">
      <w:pPr>
        <w:jc w:val="both"/>
        <w:rPr>
          <w:rFonts w:ascii="Times New Roman" w:hAnsi="Times New Roman" w:cs="Times New Roman"/>
        </w:rPr>
        <w:sectPr w:rsidR="00AE3E37" w:rsidRPr="00A71F6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A71F67" w:rsidRDefault="00AE3E37" w:rsidP="00A71F67">
      <w:pPr>
        <w:pStyle w:val="BodyText"/>
        <w:spacing w:before="3"/>
        <w:jc w:val="both"/>
        <w:rPr>
          <w:rFonts w:ascii="Times New Roman" w:hAnsi="Times New Roman" w:cs="Times New Roman"/>
          <w:sz w:val="22"/>
          <w:szCs w:val="22"/>
        </w:rPr>
      </w:pPr>
    </w:p>
    <w:sectPr w:rsidR="00AE3E37" w:rsidRPr="00A71F6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85D" w:rsidRDefault="000E585D">
      <w:r>
        <w:separator/>
      </w:r>
    </w:p>
  </w:endnote>
  <w:endnote w:type="continuationSeparator" w:id="0">
    <w:p w:rsidR="000E585D" w:rsidRDefault="000E5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745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2A196B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</w:t>
                          </w:r>
                          <w:r w:rsidR="00A9710C"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2A196B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</w:t>
                    </w:r>
                    <w:r w:rsidR="00A9710C"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85D" w:rsidRDefault="000E585D">
      <w:r>
        <w:separator/>
      </w:r>
    </w:p>
  </w:footnote>
  <w:footnote w:type="continuationSeparator" w:id="0">
    <w:p w:rsidR="000E585D" w:rsidRDefault="000E5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1072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E3E3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E3E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4B0D07CA"/>
    <w:multiLevelType w:val="hybridMultilevel"/>
    <w:tmpl w:val="03E81B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0E585D"/>
    <w:rsid w:val="001263DF"/>
    <w:rsid w:val="00292ED9"/>
    <w:rsid w:val="002A196B"/>
    <w:rsid w:val="002B2804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12830"/>
    <w:rsid w:val="0063497F"/>
    <w:rsid w:val="00873DF0"/>
    <w:rsid w:val="008756E6"/>
    <w:rsid w:val="009B2D44"/>
    <w:rsid w:val="00A07E82"/>
    <w:rsid w:val="00A71F67"/>
    <w:rsid w:val="00A9710C"/>
    <w:rsid w:val="00AE3E37"/>
    <w:rsid w:val="00B21A57"/>
    <w:rsid w:val="00C33602"/>
    <w:rsid w:val="00CD6F55"/>
    <w:rsid w:val="00DE1AF1"/>
    <w:rsid w:val="00DE3104"/>
    <w:rsid w:val="00F72EEA"/>
    <w:rsid w:val="00F8242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D2A9E0"/>
  <w15:docId w15:val="{899188C3-193C-426B-A16E-F7982C30E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71F6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ej-keyword">
    <w:name w:val="ej-keyword"/>
    <w:basedOn w:val="DefaultParagraphFont"/>
    <w:rsid w:val="00A71F67"/>
  </w:style>
  <w:style w:type="character" w:styleId="Emphasis">
    <w:name w:val="Emphasis"/>
    <w:basedOn w:val="DefaultParagraphFont"/>
    <w:uiPriority w:val="20"/>
    <w:qFormat/>
    <w:rsid w:val="00A71F67"/>
    <w:rPr>
      <w:i/>
      <w:iCs/>
    </w:rPr>
  </w:style>
  <w:style w:type="character" w:customStyle="1" w:styleId="ListParagraphChar">
    <w:name w:val="List Paragraph Char"/>
    <w:link w:val="ListParagraph"/>
    <w:uiPriority w:val="34"/>
    <w:rsid w:val="00A71F67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mritunjaikuma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AIIMS</cp:lastModifiedBy>
  <cp:revision>2</cp:revision>
  <dcterms:created xsi:type="dcterms:W3CDTF">2021-05-24T11:19:00Z</dcterms:created>
  <dcterms:modified xsi:type="dcterms:W3CDTF">2021-05-24T11:19:00Z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