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/>
          <w:b/>
          <w:bCs/>
          <w:color w:val="0000FF"/>
          <w:sz w:val="28"/>
          <w:szCs w:val="28"/>
          <w:lang w:val="en-US"/>
        </w:rPr>
      </w:pPr>
      <w:r>
        <w:rPr>
          <w:rFonts w:hint="default" w:ascii="Times New Roman" w:hAnsi="Times New Roman" w:eastAsia="AdvP40319B" w:cs="Times New Roman"/>
          <w:b/>
          <w:bCs/>
          <w:color w:val="0000FF"/>
          <w:kern w:val="0"/>
          <w:sz w:val="28"/>
          <w:szCs w:val="28"/>
          <w:lang w:val="en-US" w:eastAsia="zh-CN" w:bidi="ar"/>
        </w:rPr>
        <w:t xml:space="preserve">Prenatal serum ferritin level and its association with Infants’ weight at birth: A </w:t>
      </w:r>
      <w:r>
        <w:rPr>
          <w:rFonts w:hint="default" w:ascii="Times New Roman" w:hAnsi="Times New Roman" w:eastAsia="AdvP40319B" w:cs="Times New Roman"/>
          <w:b/>
          <w:bCs/>
          <w:color w:val="0000FF"/>
          <w:kern w:val="0"/>
          <w:sz w:val="24"/>
          <w:szCs w:val="24"/>
          <w:lang w:val="en-US" w:eastAsia="zh-CN" w:bidi="ar"/>
        </w:rPr>
        <w:t>Prospective Cohort Study</w:t>
      </w:r>
    </w:p>
    <w:p>
      <w:pPr>
        <w:pStyle w:val="8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>
        <w:rPr>
          <w:rFonts w:hint="default" w:ascii="Arial"/>
          <w:lang w:val="en-US"/>
        </w:rPr>
        <w:t>MBF</w:t>
      </w:r>
      <w:r>
        <w:rPr>
          <w:rFonts w:ascii="Arial"/>
        </w:rPr>
        <w:t xml:space="preserve">, </w:t>
      </w:r>
      <w:r>
        <w:rPr>
          <w:rFonts w:hint="default" w:ascii="Arial"/>
          <w:lang w:val="en-US"/>
        </w:rPr>
        <w:t>PhD</w:t>
      </w:r>
      <w:r>
        <w:rPr>
          <w:rFonts w:ascii="Arial"/>
        </w:rPr>
        <w:t xml:space="preserve">, </w:t>
      </w:r>
      <w:r>
        <w:rPr>
          <w:rFonts w:hint="default" w:ascii="Arial"/>
          <w:lang w:val="en-US"/>
        </w:rPr>
        <w:t xml:space="preserve"> Wollega University,</w:t>
      </w:r>
      <w:r>
        <w:rPr>
          <w:rFonts w:ascii="Arial"/>
        </w:rPr>
        <w:t xml:space="preserve"> </w:t>
      </w:r>
      <w:r>
        <w:rPr>
          <w:rFonts w:hint="default" w:ascii="Arial"/>
          <w:lang w:val="en-US"/>
        </w:rPr>
        <w:t>Ethiopia</w:t>
      </w:r>
      <w:r>
        <w:rPr>
          <w:rFonts w:ascii="Arial"/>
        </w:rPr>
        <w:t xml:space="preserve"> </w:t>
      </w:r>
    </w:p>
    <w:p>
      <w:pPr>
        <w:pStyle w:val="8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>
        <w:rPr>
          <w:rFonts w:hint="default" w:ascii="Arial"/>
          <w:lang w:val="en-US"/>
        </w:rPr>
        <w:t xml:space="preserve">LO, </w:t>
      </w:r>
      <w:r>
        <w:rPr>
          <w:rFonts w:ascii="Arial"/>
        </w:rPr>
        <w:t xml:space="preserve"> PhD, </w:t>
      </w:r>
      <w:r>
        <w:rPr>
          <w:rFonts w:hint="default" w:ascii="Arial"/>
          <w:lang w:val="en-US"/>
        </w:rPr>
        <w:t>Haramya University</w:t>
      </w:r>
      <w:r>
        <w:rPr>
          <w:rFonts w:ascii="Arial"/>
        </w:rPr>
        <w:t xml:space="preserve">,  </w:t>
      </w:r>
      <w:r>
        <w:rPr>
          <w:rFonts w:hint="default" w:ascii="Arial"/>
          <w:lang w:val="en-US"/>
        </w:rPr>
        <w:t>Ethiopia</w:t>
      </w:r>
      <w:r>
        <w:rPr>
          <w:rFonts w:ascii="Arial"/>
        </w:rPr>
        <w:t xml:space="preserve"> </w:t>
      </w:r>
    </w:p>
    <w:p>
      <w:pPr>
        <w:pStyle w:val="8"/>
        <w:spacing w:before="73" w:line="198" w:lineRule="exact"/>
        <w:ind w:left="4149" w:leftChars="45" w:right="5987" w:hanging="4050" w:hangingChars="2250"/>
        <w:rPr>
          <w:color w:val="BF5A14"/>
        </w:rPr>
      </w:pPr>
      <w:r>
        <w:rPr>
          <w:rFonts w:ascii="Arial"/>
        </w:rPr>
        <w:t xml:space="preserve">Dr </w:t>
      </w:r>
      <w:r>
        <w:rPr>
          <w:rFonts w:hint="default" w:ascii="Arial"/>
          <w:lang w:val="en-US"/>
        </w:rPr>
        <w:t>AKT</w:t>
      </w:r>
      <w:r>
        <w:rPr>
          <w:rFonts w:ascii="Arial"/>
        </w:rPr>
        <w:t xml:space="preserve">, PhD, </w:t>
      </w:r>
      <w:r>
        <w:rPr>
          <w:rFonts w:hint="default" w:ascii="Arial"/>
          <w:lang w:val="en-US"/>
        </w:rPr>
        <w:t>Haramya University</w:t>
      </w:r>
      <w:r>
        <w:rPr>
          <w:rFonts w:ascii="Arial"/>
        </w:rPr>
        <w:t xml:space="preserve">,  </w:t>
      </w:r>
      <w:r>
        <w:rPr>
          <w:rFonts w:hint="default" w:ascii="Arial"/>
          <w:lang w:val="en-US"/>
        </w:rPr>
        <w:t xml:space="preserve">Ethiopia                   </w:t>
      </w:r>
    </w:p>
    <w:p>
      <w:pPr>
        <w:pStyle w:val="8"/>
        <w:spacing w:before="73" w:line="198" w:lineRule="exact"/>
        <w:ind w:left="100" w:right="5987"/>
        <w:rPr>
          <w:rFonts w:hint="default" w:ascii="Arial"/>
          <w:lang w:val="en-US"/>
        </w:rPr>
      </w:pPr>
      <w:r>
        <w:rPr>
          <w:rFonts w:ascii="Arial"/>
        </w:rPr>
        <w:t xml:space="preserve">Dr </w:t>
      </w:r>
      <w:r>
        <w:rPr>
          <w:rFonts w:hint="default" w:ascii="Arial"/>
          <w:lang w:val="en-US"/>
        </w:rPr>
        <w:t>TAY</w:t>
      </w:r>
      <w:r>
        <w:rPr>
          <w:rFonts w:ascii="Arial"/>
        </w:rPr>
        <w:t xml:space="preserve">, PhD, </w:t>
      </w:r>
      <w:r>
        <w:rPr>
          <w:rFonts w:hint="default" w:ascii="Arial"/>
          <w:lang w:val="en-US"/>
        </w:rPr>
        <w:t>Haramya University</w:t>
      </w:r>
      <w:r>
        <w:rPr>
          <w:rFonts w:ascii="Arial"/>
        </w:rPr>
        <w:t xml:space="preserve">,  </w:t>
      </w:r>
      <w:r>
        <w:rPr>
          <w:rFonts w:hint="default" w:ascii="Arial"/>
          <w:lang w:val="en-US"/>
        </w:rPr>
        <w:t>Ethiopia</w:t>
      </w:r>
    </w:p>
    <w:p>
      <w:pPr>
        <w:pStyle w:val="8"/>
        <w:spacing w:before="73" w:line="198" w:lineRule="exact"/>
        <w:ind w:left="100" w:right="5987"/>
        <w:rPr>
          <w:rFonts w:hint="default" w:ascii="Arial"/>
          <w:lang w:val="en-US"/>
        </w:rPr>
        <w:sectPr>
          <w:headerReference r:id="rId3" w:type="default"/>
          <w:footerReference r:id="rId4" w:type="default"/>
          <w:type w:val="continuous"/>
          <w:pgSz w:w="11910" w:h="16840"/>
          <w:pgMar w:top="1740" w:right="600" w:bottom="840" w:left="620" w:header="541" w:footer="642" w:gutter="0"/>
          <w:cols w:space="720" w:num="1"/>
        </w:sectPr>
      </w:pPr>
      <w:r>
        <w:rPr>
          <w:rFonts w:ascii="Arial"/>
        </w:rPr>
        <w:t xml:space="preserve">Dr </w:t>
      </w:r>
      <w:r>
        <w:rPr>
          <w:rFonts w:hint="default" w:ascii="Arial"/>
          <w:lang w:val="en-US"/>
        </w:rPr>
        <w:t>KTR</w:t>
      </w:r>
      <w:r>
        <w:rPr>
          <w:rFonts w:ascii="Arial"/>
        </w:rPr>
        <w:t xml:space="preserve">, PhD, </w:t>
      </w:r>
      <w:r>
        <w:rPr>
          <w:rFonts w:hint="default" w:ascii="Arial"/>
          <w:lang w:val="en-US"/>
        </w:rPr>
        <w:t>Haramya University</w:t>
      </w:r>
      <w:r>
        <w:rPr>
          <w:rFonts w:ascii="Arial"/>
        </w:rPr>
        <w:t xml:space="preserve">,  </w:t>
      </w:r>
      <w:r>
        <w:rPr>
          <w:rFonts w:hint="default" w:ascii="Arial"/>
          <w:lang w:val="en-US"/>
        </w:rPr>
        <w:t>Ethiopia</w:t>
      </w:r>
    </w:p>
    <w:p>
      <w:pPr>
        <w:pStyle w:val="4"/>
        <w:spacing w:before="147"/>
        <w:jc w:val="both"/>
      </w:pPr>
      <w:r>
        <w:rPr>
          <w:color w:val="BF5A14"/>
        </w:rPr>
        <w:t xml:space="preserve">Abstract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AdvOT46dcae81" w:cs="Times New Roman"/>
          <w:color w:val="231F2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cs="Times New Roman"/>
          <w:sz w:val="18"/>
          <w:szCs w:val="18"/>
        </w:rPr>
        <w:t>Statement of the Problem:</w:t>
      </w:r>
      <w:r>
        <w:rPr>
          <w:rFonts w:hint="default" w:ascii="Times New Roman" w:hAnsi="Times New Roman" w:eastAsia="Calibri" w:cs="Times New Roman"/>
          <w:b/>
          <w:bCs/>
          <w:color w:val="131413"/>
          <w:sz w:val="18"/>
          <w:szCs w:val="18"/>
          <w:highlight w:val="none"/>
        </w:rPr>
        <w:t>:</w:t>
      </w:r>
      <w:r>
        <w:rPr>
          <w:rFonts w:hint="default" w:ascii="Times New Roman" w:hAnsi="Times New Roman" w:eastAsia="Calibri" w:cs="Times New Roman"/>
          <w:b/>
          <w:bCs/>
          <w:color w:val="131413"/>
          <w:sz w:val="18"/>
          <w:szCs w:val="18"/>
          <w:highlight w:val="none"/>
          <w:lang w:val="en-US"/>
        </w:rPr>
        <w:t xml:space="preserve"> </w:t>
      </w:r>
      <w:r>
        <w:rPr>
          <w:rFonts w:hint="default" w:ascii="Times New Roman" w:hAnsi="Times New Roman" w:eastAsia="Calibri" w:cs="Times New Roman"/>
          <w:b w:val="0"/>
          <w:bCs w:val="0"/>
          <w:color w:val="131413"/>
          <w:sz w:val="18"/>
          <w:szCs w:val="18"/>
          <w:highlight w:val="none"/>
          <w:lang w:val="en-US"/>
        </w:rPr>
        <w:t>Globally,15 to 20% of all live births each year are of low birth weight (LBW)</w:t>
      </w:r>
      <w:r>
        <w:rPr>
          <w:rFonts w:hint="default" w:ascii="Times New Roman" w:hAnsi="Times New Roman" w:eastAsia="Calibri" w:cs="Times New Roman"/>
          <w:b/>
          <w:bCs/>
          <w:color w:val="131413"/>
          <w:sz w:val="18"/>
          <w:szCs w:val="18"/>
          <w:highlight w:val="none"/>
          <w:lang w:val="en-US"/>
        </w:rPr>
        <w:t>.</w:t>
      </w:r>
      <w:r>
        <w:rPr>
          <w:rFonts w:hint="default" w:ascii="Times New Roman" w:hAnsi="Times New Roman" w:eastAsia="NvslvmAdvTT86d47313" w:cs="Times New Roman"/>
          <w:color w:val="131413"/>
          <w:kern w:val="0"/>
          <w:sz w:val="18"/>
          <w:szCs w:val="18"/>
          <w:lang w:val="en-US" w:eastAsia="zh-CN" w:bidi="ar"/>
        </w:rPr>
        <w:t xml:space="preserve">In humans overly, neonate from iron deficient (ID) mothers at birth were found to have low iron stores, </w:t>
      </w:r>
      <w:r>
        <w:rPr>
          <w:rFonts w:hint="default" w:ascii="Times New Roman" w:hAnsi="Times New Roman" w:eastAsia="NvslvmAdvTT86d47313" w:cs="Times New Roman"/>
          <w:color w:val="auto"/>
          <w:kern w:val="0"/>
          <w:sz w:val="18"/>
          <w:szCs w:val="18"/>
          <w:lang w:val="en-US" w:eastAsia="zh-CN" w:bidi="ar"/>
        </w:rPr>
        <w:t>showing there is a restricted capacity for the fetus to store  iron from mothers with low accumulation</w:t>
      </w:r>
      <w:r>
        <w:rPr>
          <w:rFonts w:hint="default" w:ascii="Times New Roman" w:hAnsi="Times New Roman" w:eastAsia="MinionPro-Regular" w:cs="Times New Roman"/>
          <w:color w:val="000000"/>
          <w:kern w:val="0"/>
          <w:sz w:val="18"/>
          <w:szCs w:val="18"/>
          <w:lang w:val="en-US" w:eastAsia="zh-CN" w:bidi="ar"/>
        </w:rPr>
        <w:t>.Although s</w:t>
      </w:r>
      <w:r>
        <w:rPr>
          <w:rFonts w:hint="default" w:ascii="Times New Roman" w:hAnsi="Times New Roman" w:eastAsia="MinionPro-Regular" w:cs="Times New Roman"/>
          <w:color w:val="000000"/>
          <w:kern w:val="0"/>
          <w:sz w:val="18"/>
          <w:szCs w:val="18"/>
          <w:lang w:val="en-US" w:eastAsia="zh-CN"/>
        </w:rPr>
        <w:t xml:space="preserve">everal studies have evaluated the associations between maternal iron status and fetal iron status and growth, the findings remain inconsistent. </w:t>
      </w:r>
      <w:r>
        <w:rPr>
          <w:rFonts w:hint="default" w:ascii="Times New Roman" w:hAnsi="Times New Roman" w:eastAsia="XkwmbkAdvTT86d47313" w:cs="Times New Roman"/>
          <w:color w:val="131413"/>
          <w:kern w:val="0"/>
          <w:sz w:val="18"/>
          <w:szCs w:val="18"/>
          <w:lang w:val="en-US" w:eastAsia="zh-CN" w:bidi="ar"/>
        </w:rPr>
        <w:t>To our knowledge, this is the first report to examine the association b</w:t>
      </w:r>
      <w:r>
        <w:rPr>
          <w:rFonts w:hint="default" w:ascii="Times New Roman" w:hAnsi="Times New Roman" w:eastAsia="OpenSans-Semibold" w:cs="Times New Roman"/>
          <w:color w:val="000000"/>
          <w:kern w:val="0"/>
          <w:sz w:val="18"/>
          <w:szCs w:val="18"/>
          <w:lang w:val="en-US" w:eastAsia="zh-CN" w:bidi="ar"/>
        </w:rPr>
        <w:t>etween</w:t>
      </w:r>
      <w:r>
        <w:rPr>
          <w:rFonts w:hint="default" w:ascii="Times New Roman" w:hAnsi="Times New Roman" w:eastAsia="XkwmbkAdvTT86d47313" w:cs="Times New Roman"/>
          <w:color w:val="131413"/>
          <w:kern w:val="0"/>
          <w:sz w:val="18"/>
          <w:szCs w:val="18"/>
          <w:lang w:val="en-US" w:eastAsia="zh-CN" w:bidi="ar"/>
        </w:rPr>
        <w:t xml:space="preserve"> iron status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val="en-US"/>
        </w:rPr>
        <w:t xml:space="preserve"> </w:t>
      </w:r>
      <w:r>
        <w:rPr>
          <w:rFonts w:hint="default" w:ascii="Times New Roman" w:hAnsi="Times New Roman" w:eastAsia="XkwmbkAdvTT86d47313" w:cs="Times New Roman"/>
          <w:color w:val="131413"/>
          <w:kern w:val="0"/>
          <w:sz w:val="18"/>
          <w:szCs w:val="18"/>
          <w:lang w:val="en-US" w:eastAsia="zh-CN" w:bidi="ar"/>
        </w:rPr>
        <w:t xml:space="preserve">and birthweight in Eastern Africa, particularly in Ethiopian pregnant women. </w:t>
      </w:r>
      <w:r>
        <w:rPr>
          <w:rFonts w:hint="default" w:ascii="Times New Roman" w:hAnsi="Times New Roman" w:cs="Times New Roman"/>
          <w:color w:val="000000"/>
          <w:sz w:val="18"/>
          <w:szCs w:val="18"/>
          <w:highlight w:val="none"/>
        </w:rPr>
        <w:t>The aim of this study was</w:t>
      </w:r>
      <w:r>
        <w:rPr>
          <w:rFonts w:hint="default" w:ascii="Times New Roman" w:hAnsi="Times New Roman" w:eastAsia="Calibri" w:cs="Times New Roman"/>
          <w:iCs/>
          <w:sz w:val="18"/>
          <w:szCs w:val="18"/>
          <w:highlight w:val="none"/>
        </w:rPr>
        <w:t xml:space="preserve"> to assess</w:t>
      </w:r>
      <w:r>
        <w:rPr>
          <w:rFonts w:hint="default" w:ascii="Times New Roman" w:hAnsi="Times New Roman" w:eastAsia="Calibri" w:cs="Times New Roman"/>
          <w:iCs/>
          <w:sz w:val="18"/>
          <w:szCs w:val="18"/>
          <w:highlight w:val="none"/>
          <w:lang w:val="en-US"/>
        </w:rPr>
        <w:t xml:space="preserve"> the level of maternal ferritin concentration, and</w:t>
      </w:r>
      <w:r>
        <w:rPr>
          <w:rFonts w:hint="default" w:ascii="Times New Roman" w:hAnsi="Times New Roman" w:eastAsia="Calibri" w:cs="Times New Roman"/>
          <w:iCs/>
          <w:sz w:val="18"/>
          <w:szCs w:val="18"/>
          <w:highlight w:val="none"/>
        </w:rPr>
        <w:t xml:space="preserve"> the</w:t>
      </w:r>
      <w:r>
        <w:rPr>
          <w:rFonts w:hint="default" w:ascii="Times New Roman" w:hAnsi="Times New Roman" w:eastAsia="Calibri" w:cs="Times New Roman"/>
          <w:iCs/>
          <w:sz w:val="18"/>
          <w:szCs w:val="18"/>
          <w:highlight w:val="none"/>
          <w:lang w:val="en-US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association 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>between prenatal</w:t>
      </w:r>
      <w:r>
        <w:rPr>
          <w:rFonts w:hint="default" w:ascii="Times New Roman" w:hAnsi="Times New Roman" w:eastAsia="OpenSans-Semibold" w:cs="Times New Roman"/>
          <w:color w:val="000000"/>
          <w:kern w:val="0"/>
          <w:sz w:val="18"/>
          <w:szCs w:val="18"/>
          <w:lang w:val="en-US" w:eastAsia="zh-CN" w:bidi="ar"/>
        </w:rPr>
        <w:t xml:space="preserve"> iron status </w:t>
      </w:r>
      <w:r>
        <w:rPr>
          <w:rFonts w:hint="default" w:ascii="Times New Roman" w:hAnsi="Times New Roman" w:eastAsia="AdvP40319B" w:cs="Times New Roman"/>
          <w:color w:val="000000"/>
          <w:kern w:val="0"/>
          <w:sz w:val="18"/>
          <w:szCs w:val="18"/>
          <w:lang w:val="en-US" w:eastAsia="zh-CN" w:bidi="ar"/>
        </w:rPr>
        <w:t xml:space="preserve">and infants’ weight at birth </w:t>
      </w:r>
      <w:r>
        <w:rPr>
          <w:rFonts w:hint="default" w:ascii="Times New Roman" w:hAnsi="Times New Roman" w:eastAsia="Calibri" w:cs="Times New Roman"/>
          <w:sz w:val="18"/>
          <w:szCs w:val="18"/>
          <w:highlight w:val="none"/>
        </w:rPr>
        <w:t xml:space="preserve"> </w:t>
      </w:r>
      <w:r>
        <w:rPr>
          <w:rFonts w:hint="default" w:ascii="Times New Roman" w:hAnsi="Times New Roman" w:eastAsia="Calibri" w:cs="Times New Roman"/>
          <w:sz w:val="18"/>
          <w:szCs w:val="18"/>
          <w:highlight w:val="none"/>
          <w:lang w:val="en-US"/>
        </w:rPr>
        <w:t xml:space="preserve">in </w:t>
      </w:r>
      <w:r>
        <w:rPr>
          <w:rFonts w:hint="default" w:ascii="Times New Roman" w:hAnsi="Times New Roman" w:eastAsia="Calibri" w:cs="Times New Roman"/>
          <w:sz w:val="18"/>
          <w:szCs w:val="18"/>
          <w:highlight w:val="none"/>
        </w:rPr>
        <w:t>Ethiopia.</w:t>
      </w:r>
      <w:r>
        <w:rPr>
          <w:rFonts w:hint="default" w:ascii="Times New Roman" w:hAnsi="Times New Roman" w:eastAsia="Calibri" w:cs="Times New Roman"/>
          <w:sz w:val="18"/>
          <w:szCs w:val="18"/>
          <w:highlight w:val="none"/>
          <w:lang w:val="en-US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Methodology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: 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18"/>
          <w:szCs w:val="18"/>
          <w:highlight w:val="none"/>
        </w:rPr>
        <w:t xml:space="preserve">A community based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val="en-US"/>
        </w:rPr>
        <w:t>p</w:t>
      </w:r>
      <w:r>
        <w:rPr>
          <w:rFonts w:hint="default" w:ascii="Times New Roman" w:hAnsi="Times New Roman" w:eastAsia="AdvP40319B" w:cs="Times New Roman"/>
          <w:b w:val="0"/>
          <w:bCs w:val="0"/>
          <w:i w:val="0"/>
          <w:iCs w:val="0"/>
          <w:color w:val="auto"/>
          <w:kern w:val="0"/>
          <w:sz w:val="18"/>
          <w:szCs w:val="18"/>
          <w:lang w:val="en-US" w:eastAsia="zh-CN" w:bidi="ar"/>
        </w:rPr>
        <w:t>rospective cohort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18"/>
          <w:szCs w:val="18"/>
          <w:highlight w:val="none"/>
        </w:rPr>
        <w:t xml:space="preserve"> study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val="en-US"/>
        </w:rPr>
        <w:t xml:space="preserve"> design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18"/>
          <w:szCs w:val="18"/>
          <w:highlight w:val="none"/>
        </w:rPr>
        <w:t xml:space="preserve"> was conducted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val="en-US"/>
        </w:rPr>
        <w:t>. About 427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18"/>
          <w:szCs w:val="18"/>
          <w:highlight w:val="none"/>
        </w:rPr>
        <w:t xml:space="preserve"> pr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18"/>
          <w:szCs w:val="18"/>
        </w:rPr>
        <w:t xml:space="preserve">egnant women 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18"/>
          <w:szCs w:val="18"/>
          <w:lang w:val="en-US"/>
        </w:rPr>
        <w:t xml:space="preserve">in their second or third gestational trimester were randomly selected and their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val="en-US"/>
        </w:rPr>
        <w:t xml:space="preserve">serum ferritin and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18"/>
          <w:szCs w:val="18"/>
          <w:highlight w:val="none"/>
        </w:rPr>
        <w:t>concentration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val="en-US"/>
        </w:rPr>
        <w:t xml:space="preserve"> was determined at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  <w:t>National Clinical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  <w:t>Chemistry Reference Laboratory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  <w:lang w:val="en-US"/>
        </w:rPr>
        <w:t xml:space="preserve">,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  <w:t xml:space="preserve">Ethiopian Public Health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  <w:lang w:val="en-US"/>
        </w:rPr>
        <w:t>I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aps w:val="0"/>
          <w:color w:val="auto"/>
          <w:spacing w:val="0"/>
          <w:sz w:val="18"/>
          <w:szCs w:val="18"/>
          <w:shd w:val="clear" w:fill="FFFFFF"/>
        </w:rPr>
        <w:t>nstitute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18"/>
          <w:szCs w:val="18"/>
          <w:highlight w:val="none"/>
          <w:lang w:val="en-US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</w:rPr>
        <w:t>A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</w:rPr>
        <w:t>Poisson regression model with robust variance estimation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  <w:lang w:val="en-US"/>
        </w:rPr>
        <w:t xml:space="preserve"> regression analysis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  <w:lang w:val="en-US"/>
        </w:rPr>
        <w:t xml:space="preserve">was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</w:rPr>
        <w:t xml:space="preserve">used to investigate the independent variables association with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  <w:lang w:val="en-US"/>
        </w:rPr>
        <w:t>birthweight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8"/>
          <w:szCs w:val="18"/>
        </w:rPr>
        <w:t xml:space="preserve">. An adjusted prevalence ratio (APR) with 95% confidence interval was reported to show association at p &lt;0.05. </w:t>
      </w:r>
      <w:r>
        <w:rPr>
          <w:rFonts w:hint="default" w:ascii="Times New Roman" w:hAnsi="Times New Roman" w:cs="Times New Roman"/>
          <w:sz w:val="18"/>
          <w:szCs w:val="18"/>
        </w:rPr>
        <w:t>Findings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: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>
        <w:rPr>
          <w:rFonts w:hint="default" w:ascii="Times New Roman" w:hAnsi="Times New Roman" w:eastAsia="AdvOT46dcae81" w:cs="Times New Roman"/>
          <w:color w:val="231F20"/>
          <w:kern w:val="0"/>
          <w:sz w:val="18"/>
          <w:szCs w:val="18"/>
          <w:lang w:val="en-US" w:eastAsia="zh-CN" w:bidi="ar"/>
        </w:rPr>
        <w:t xml:space="preserve">The level of ID based on ferritin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AdvOT46dcae81" w:cs="Times New Roman"/>
          <w:color w:val="231F20"/>
          <w:kern w:val="0"/>
          <w:sz w:val="18"/>
          <w:szCs w:val="18"/>
          <w:lang w:val="en-US" w:eastAsia="zh-CN" w:bidi="ar"/>
        </w:rPr>
        <w:t xml:space="preserve">measures was </w:t>
      </w:r>
      <w:r>
        <w:rPr>
          <w:rFonts w:hint="default" w:ascii="Times New Roman" w:hAnsi="Times New Roman" w:eastAsia="Calibri" w:cs="Times New Roman"/>
          <w:sz w:val="18"/>
          <w:szCs w:val="18"/>
        </w:rPr>
        <w:t>45.96</w:t>
      </w:r>
      <w:r>
        <w:rPr>
          <w:rFonts w:hint="default" w:ascii="Times New Roman" w:hAnsi="Times New Roman" w:eastAsia="Calibri" w:cs="Times New Roman"/>
          <w:sz w:val="18"/>
          <w:szCs w:val="18"/>
          <w:lang w:val="en-US"/>
        </w:rPr>
        <w:t xml:space="preserve">%. The prevalence </w:t>
      </w:r>
      <w:r>
        <w:rPr>
          <w:rFonts w:hint="default" w:ascii="Times New Roman" w:hAnsi="Times New Roman" w:cs="Times New Roman"/>
          <w:sz w:val="18"/>
          <w:szCs w:val="18"/>
        </w:rPr>
        <w:t>was</w:t>
      </w:r>
      <w:r>
        <w:rPr>
          <w:rFonts w:hint="default" w:ascii="Times New Roman" w:hAnsi="Times New Roman" w:eastAsia="Calibri" w:cs="Times New Roman"/>
          <w:sz w:val="18"/>
          <w:szCs w:val="18"/>
        </w:rPr>
        <w:t xml:space="preserve"> significantly 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higher </w:t>
      </w:r>
      <w:r>
        <w:rPr>
          <w:rFonts w:hint="default" w:ascii="Times New Roman" w:hAnsi="Times New Roman" w:eastAsia="Calibri" w:cs="Times New Roman"/>
          <w:sz w:val="18"/>
          <w:szCs w:val="18"/>
        </w:rPr>
        <w:t>among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those 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 xml:space="preserve">women 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who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 xml:space="preserve"> had low </w:t>
      </w:r>
      <w:r>
        <w:rPr>
          <w:rFonts w:hint="default" w:ascii="Times New Roman" w:hAnsi="Times New Roman" w:eastAsia="AdvOTa9103878" w:cs="Times New Roman"/>
          <w:color w:val="231F20"/>
          <w:sz w:val="18"/>
          <w:szCs w:val="18"/>
          <w:lang w:eastAsia="zh-CN" w:bidi="ar"/>
        </w:rPr>
        <w:t>diversified die</w:t>
      </w:r>
      <w:r>
        <w:rPr>
          <w:rFonts w:hint="default" w:ascii="Times New Roman" w:hAnsi="Times New Roman" w:eastAsia="AdvOTa9103878" w:cs="Times New Roman"/>
          <w:color w:val="231F20"/>
          <w:sz w:val="18"/>
          <w:szCs w:val="18"/>
          <w:lang w:val="en-US" w:eastAsia="zh-CN" w:bidi="ar"/>
        </w:rPr>
        <w:t>t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default" w:ascii="Times New Roman" w:hAnsi="Times New Roman" w:eastAsia="Calibri" w:cs="Times New Roman"/>
          <w:sz w:val="18"/>
          <w:szCs w:val="18"/>
        </w:rPr>
        <w:t xml:space="preserve"> lower among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those who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had 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:lang w:val="en-US"/>
          <w14:textFill>
            <w14:solidFill>
              <w14:schemeClr w14:val="tx1"/>
            </w14:solidFill>
          </w14:textFill>
        </w:rPr>
        <w:t>antenatal care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 follow-up. On-the other hand, w</w:t>
      </w:r>
      <w:r>
        <w:rPr>
          <w:rFonts w:hint="default" w:ascii="Times New Roman" w:hAnsi="Times New Roman" w:eastAsia="Calibri" w:cs="Times New Roman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>e found that</w:t>
      </w:r>
      <w:r>
        <w:rPr>
          <w:rFonts w:hint="default" w:ascii="Times New Roman" w:hAnsi="Times New Roman" w:eastAsia="Calibri" w:cs="Times New Roman"/>
          <w:color w:val="000000" w:themeColor="text1"/>
          <w:sz w:val="18"/>
          <w:szCs w:val="18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20.2%</w:t>
      </w:r>
      <w:r>
        <w:rPr>
          <w:rFonts w:hint="default" w:ascii="Times New Roman" w:hAnsi="Times New Roman" w:eastAsia="Calibri" w:cs="Times New Roman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>of babies were born with LBW</w:t>
      </w:r>
      <w:r>
        <w:rPr>
          <w:rFonts w:hint="default" w:ascii="Times New Roman" w:hAnsi="Times New Roman" w:eastAsia="AdvP403A40" w:cs="Times New Roman"/>
          <w:color w:val="000000"/>
          <w:kern w:val="0"/>
          <w:sz w:val="18"/>
          <w:szCs w:val="18"/>
          <w:lang w:val="en-US" w:eastAsia="zh-CN" w:bidi="ar"/>
        </w:rPr>
        <w:t>. From our results,prenatal i</w:t>
      </w:r>
      <w:r>
        <w:rPr>
          <w:rFonts w:hint="default" w:ascii="Times New Roman" w:hAnsi="Times New Roman" w:eastAsia="Calibri" w:cs="Times New Roman"/>
          <w:color w:val="000000" w:themeColor="text1"/>
          <w:sz w:val="18"/>
          <w:szCs w:val="18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ron deficiency was found to have negative effect on birthweight. Also we observed that, 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LBW was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/>
        </w:rPr>
        <w:t xml:space="preserve">more likely higher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among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/>
        </w:rPr>
        <w:t xml:space="preserve"> husbands who were daily labour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:highlight w:val="none"/>
          <w:lang w:val="en-US"/>
          <w14:textFill>
            <w14:solidFill>
              <w14:schemeClr w14:val="tx1"/>
            </w14:solidFill>
          </w14:textFill>
        </w:rPr>
        <w:t>, women who were undernourished, and women were stunted.However,L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 xml:space="preserve">BW was less likely </w:t>
      </w:r>
      <w:r>
        <w:rPr>
          <w:rFonts w:hint="default" w:ascii="Times New Roman" w:hAnsi="Times New Roman" w:cs="Times New Roman"/>
          <w:sz w:val="18"/>
          <w:szCs w:val="18"/>
          <w:highlight w:val="none"/>
          <w:lang w:val="en-US"/>
        </w:rPr>
        <w:t xml:space="preserve">lower </w:t>
      </w:r>
      <w:r>
        <w:rPr>
          <w:rFonts w:hint="default" w:ascii="Times New Roman" w:hAnsi="Times New Roman" w:cs="Times New Roman"/>
          <w:sz w:val="18"/>
          <w:szCs w:val="18"/>
          <w:highlight w:val="none"/>
        </w:rPr>
        <w:t>among</w:t>
      </w:r>
      <w:r>
        <w:rPr>
          <w:rFonts w:hint="default" w:ascii="Times New Roman" w:hAnsi="Times New Roman" w:cs="Times New Roman"/>
          <w:color w:val="000000" w:themeColor="text1"/>
          <w:sz w:val="18"/>
          <w:szCs w:val="18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females babies.</w:t>
      </w:r>
      <w:r>
        <w:rPr>
          <w:rFonts w:hint="default" w:ascii="Times New Roman" w:hAnsi="Times New Roman" w:cs="Times New Roman"/>
          <w:sz w:val="18"/>
          <w:szCs w:val="18"/>
        </w:rPr>
        <w:t>Conclusion &amp; Significance</w:t>
      </w:r>
      <w:r>
        <w:rPr>
          <w:rFonts w:hint="default" w:ascii="Times New Roman" w:hAnsi="Times New Roman" w:cs="Times New Roman"/>
          <w:sz w:val="18"/>
          <w:szCs w:val="18"/>
          <w:lang w:val="en-US"/>
        </w:rPr>
        <w:t>.</w:t>
      </w:r>
      <w:r>
        <w:rPr>
          <w:rFonts w:hint="default" w:ascii="Times New Roman" w:hAnsi="Times New Roman" w:eastAsia="Calibri" w:cs="Times New Roman"/>
          <w:b w:val="0"/>
          <w:bCs w:val="0"/>
          <w:sz w:val="18"/>
          <w:szCs w:val="18"/>
          <w:lang w:val="en-US"/>
        </w:rPr>
        <w:t xml:space="preserve"> Prenatal i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/>
        </w:rPr>
        <w:t>ron deficiency</w:t>
      </w:r>
      <w:r>
        <w:rPr>
          <w:rFonts w:hint="default" w:ascii="Times New Roman" w:hAnsi="Times New Roman" w:eastAsia="Calibri" w:cs="Times New Roman"/>
          <w:b w:val="0"/>
          <w:bCs w:val="0"/>
          <w:sz w:val="18"/>
          <w:szCs w:val="18"/>
          <w:lang w:val="en-US"/>
        </w:rPr>
        <w:t xml:space="preserve"> and LBW were frequent in 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>Ethiopia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/>
        </w:rPr>
        <w:t>.We recommend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XkwmbkAdvTT86d47313" w:cs="Times New Roman"/>
          <w:color w:val="131413"/>
          <w:kern w:val="0"/>
          <w:sz w:val="18"/>
          <w:szCs w:val="18"/>
          <w:lang w:val="en-US" w:eastAsia="zh-CN" w:bidi="ar"/>
        </w:rPr>
        <w:t>it is essential to employ more prospective multicenter studies with larger population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using all the available iron biomarkers to elucidate the potential risk factors of prenatal  ID and </w:t>
      </w:r>
      <w:r>
        <w:rPr>
          <w:rFonts w:hint="default" w:ascii="Times New Roman" w:hAnsi="Times New Roman" w:eastAsia="XkwmbkAdvTT86d47313" w:cs="Times New Roman"/>
          <w:color w:val="131413"/>
          <w:kern w:val="0"/>
          <w:sz w:val="18"/>
          <w:szCs w:val="18"/>
          <w:lang w:val="en-US" w:eastAsia="zh-CN" w:bidi="ar"/>
        </w:rPr>
        <w:t>examine its relationship with birthweight</w:t>
      </w:r>
      <w:r>
        <w:rPr>
          <w:rFonts w:hint="default" w:ascii="Times New Roman" w:hAnsi="Times New Roman" w:eastAsia="URWPalladioL-Roma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.</w:t>
      </w:r>
    </w:p>
    <w:p>
      <w:pPr>
        <w:pStyle w:val="4"/>
        <w:spacing w:before="74"/>
        <w:rPr>
          <w:b w:val="0"/>
        </w:rPr>
      </w:pPr>
    </w:p>
    <w:p>
      <w:pPr>
        <w:pStyle w:val="4"/>
        <w:spacing w:before="74"/>
        <w:ind w:firstLine="100" w:firstLineChars="50"/>
      </w:pPr>
      <w:r>
        <w:rPr>
          <w:rFonts w:hint="default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332740</wp:posOffset>
            </wp:positionH>
            <wp:positionV relativeFrom="paragraph">
              <wp:posOffset>339090</wp:posOffset>
            </wp:positionV>
            <wp:extent cx="1372870" cy="1516380"/>
            <wp:effectExtent l="0" t="0" r="17780" b="7620"/>
            <wp:wrapSquare wrapText="bothSides"/>
            <wp:docPr id="2" name="Picture 2" descr="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0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287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0"/>
        </w:rPr>
        <w:t xml:space="preserve"> </w:t>
      </w:r>
      <w:r>
        <w:rPr>
          <w:rFonts w:hint="default" w:ascii="Calibri"/>
          <w:sz w:val="20"/>
          <w:lang w:val="en-US"/>
        </w:rPr>
        <w:t>P</w:t>
      </w:r>
      <w:r>
        <w:rPr>
          <w:rFonts w:ascii="Calibri"/>
          <w:b/>
          <w:sz w:val="20"/>
        </w:rPr>
        <w:t>hotograph</w:t>
      </w:r>
      <w:bookmarkStart w:id="0" w:name="_GoBack"/>
      <w:bookmarkEnd w:id="0"/>
      <w:r>
        <w:rPr>
          <w:b w:val="0"/>
        </w:rPr>
        <w:br w:type="column"/>
      </w:r>
      <w:r>
        <w:rPr>
          <w:rFonts w:hint="default"/>
          <w:b w:val="0"/>
          <w:lang w:val="en-US"/>
        </w:rPr>
        <w:t xml:space="preserve">         </w:t>
      </w:r>
    </w:p>
    <w:p>
      <w:pPr>
        <w:pStyle w:val="8"/>
        <w:spacing w:before="2"/>
        <w:jc w:val="center"/>
        <w:rPr>
          <w:rFonts w:ascii="Arial"/>
          <w:b/>
          <w:color w:val="BF5A14"/>
          <w:sz w:val="20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282575</wp:posOffset>
            </wp:positionV>
            <wp:extent cx="3355340" cy="3199765"/>
            <wp:effectExtent l="0" t="0" r="1651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rcRect l="21615" t="19066" r="49385" b="32772"/>
                    <a:stretch>
                      <a:fillRect/>
                    </a:stretch>
                  </pic:blipFill>
                  <pic:spPr>
                    <a:xfrm>
                      <a:off x="0" y="0"/>
                      <a:ext cx="3355340" cy="319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BF5A14"/>
          <w:sz w:val="24"/>
          <w:szCs w:val="24"/>
        </w:rPr>
        <w:t>Image</w:t>
      </w:r>
    </w:p>
    <w:p>
      <w:pPr>
        <w:spacing w:line="204" w:lineRule="exact"/>
        <w:rPr>
          <w:rFonts w:ascii="Arial"/>
          <w:b/>
          <w:color w:val="BF5A14"/>
          <w:sz w:val="20"/>
        </w:rPr>
      </w:pPr>
    </w:p>
    <w:p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75" w:firstLineChars="50"/>
        <w:jc w:val="both"/>
        <w:rPr>
          <w:rFonts w:hint="default" w:ascii="Arial" w:hAnsi="Arial" w:cs="Arial"/>
          <w:sz w:val="15"/>
          <w:szCs w:val="15"/>
        </w:rPr>
      </w:pPr>
      <w:r>
        <w:rPr>
          <w:rFonts w:hint="default" w:ascii="Arial" w:hAnsi="Arial" w:eastAsia="Helvetica-Condensed" w:cs="Arial"/>
          <w:color w:val="000000"/>
          <w:kern w:val="0"/>
          <w:sz w:val="15"/>
          <w:szCs w:val="15"/>
          <w:lang w:val="en-US" w:eastAsia="zh-CN" w:bidi="ar"/>
        </w:rPr>
        <w:t xml:space="preserve">Fite MB, Roba KT, Merga BT, Tefera BN, Beha GA, Gurmessa TT (2021) Factors associated with enrollment for community-based health insurance scheme in Western Ethiopia: Casecontrol study. PLoS ONE 16(6): e0252303. </w:t>
      </w:r>
      <w:r>
        <w:rPr>
          <w:rFonts w:hint="default" w:ascii="Arial" w:hAnsi="Arial" w:eastAsia="Helvetica-Condensed" w:cs="Arial"/>
          <w:color w:val="3A65AD"/>
          <w:kern w:val="0"/>
          <w:sz w:val="15"/>
          <w:szCs w:val="15"/>
          <w:lang w:val="en-US" w:eastAsia="zh-CN" w:bidi="ar"/>
        </w:rPr>
        <w:t xml:space="preserve">https://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75" w:firstLineChars="50"/>
        <w:jc w:val="both"/>
        <w:rPr>
          <w:rFonts w:hint="default" w:ascii="Arial" w:hAnsi="Arial" w:eastAsia="Segoe UI" w:cs="Arial"/>
          <w:i w:val="0"/>
          <w:iCs w:val="0"/>
          <w:caps w:val="0"/>
          <w:color w:val="212121"/>
          <w:spacing w:val="0"/>
          <w:sz w:val="15"/>
          <w:szCs w:val="15"/>
          <w:shd w:val="clear" w:color="auto" w:fill="FFFFFF"/>
        </w:rPr>
      </w:pPr>
      <w:r>
        <w:rPr>
          <w:rFonts w:ascii="Helvetica-Condensed" w:hAnsi="Helvetica-Condensed" w:eastAsia="Helvetica-Condensed" w:cs="Helvetica-Condensed"/>
          <w:color w:val="000000"/>
          <w:kern w:val="0"/>
          <w:sz w:val="15"/>
          <w:szCs w:val="15"/>
          <w:lang w:val="en-US" w:eastAsia="zh-CN" w:bidi="ar"/>
        </w:rPr>
        <w:t>F</w:t>
      </w:r>
      <w:r>
        <w:rPr>
          <w:rFonts w:hint="default" w:ascii="Arial" w:hAnsi="Arial" w:eastAsia="Helvetica-Condensed" w:cs="Arial"/>
          <w:color w:val="000000"/>
          <w:kern w:val="0"/>
          <w:sz w:val="15"/>
          <w:szCs w:val="15"/>
          <w:lang w:val="en-US" w:eastAsia="zh-CN" w:bidi="ar"/>
        </w:rPr>
        <w:t xml:space="preserve">ite MB, Roba KT, Oljira L, Tura AK, Yadeta TA (2021) Compliance with Iron and Folic Acid Supplementation (IFAS) and associated factors among pregnant women in Sub-Saharan Africa: A systematic review and meta-analysis. PLoS ONE 16(4): e0249789. </w:t>
      </w:r>
      <w:r>
        <w:rPr>
          <w:rFonts w:hint="default" w:ascii="Arial" w:hAnsi="Arial" w:eastAsia="Helvetica-Condensed" w:cs="Arial"/>
          <w:color w:val="3A65AD"/>
          <w:kern w:val="0"/>
          <w:sz w:val="15"/>
          <w:szCs w:val="15"/>
          <w:lang w:val="en-US" w:eastAsia="zh-CN" w:bidi="ar"/>
        </w:rPr>
        <w:t>https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75" w:firstLineChars="50"/>
        <w:jc w:val="both"/>
        <w:rPr>
          <w:rFonts w:hint="default" w:ascii="Arial" w:hAnsi="Arial" w:eastAsia="Segoe UI" w:cs="Arial"/>
          <w:i w:val="0"/>
          <w:iCs w:val="0"/>
          <w:caps w:val="0"/>
          <w:color w:val="212121"/>
          <w:spacing w:val="0"/>
          <w:sz w:val="15"/>
          <w:szCs w:val="15"/>
          <w:shd w:val="clear" w:color="auto" w:fill="FFFFFF"/>
        </w:rPr>
      </w:pPr>
      <w:r>
        <w:rPr>
          <w:rFonts w:hint="default" w:ascii="Arial" w:hAnsi="Arial" w:eastAsia="TimesNewRomanPSMT" w:cs="Arial"/>
          <w:color w:val="000000"/>
          <w:kern w:val="0"/>
          <w:sz w:val="15"/>
          <w:szCs w:val="15"/>
          <w:lang w:val="en-US" w:eastAsia="zh-CN" w:bidi="ar"/>
        </w:rPr>
        <w:t>Fite MB, Denio AD, Muyhe A,  Merdassa E, Desalegn M, Gurmesa TT. Compliance  with iron and folic acid supplementation and  associated factors among pregnant women in  Ethiopia: a systematic review and meta analysis.</w:t>
      </w:r>
      <w:r>
        <w:rPr>
          <w:rFonts w:hint="default" w:ascii="Arial" w:hAnsi="Arial" w:eastAsia="TimesNewRomanPS-ItalicMT" w:cs="Arial"/>
          <w:color w:val="000000"/>
          <w:kern w:val="0"/>
          <w:sz w:val="15"/>
          <w:szCs w:val="15"/>
          <w:lang w:val="en-US" w:eastAsia="zh-CN" w:bidi="ar"/>
        </w:rPr>
        <w:t xml:space="preserve"> Int J Sci Rep. 2020 Dec;6(12):514-522 </w:t>
      </w:r>
      <w:r>
        <w:rPr>
          <w:rFonts w:hint="default" w:ascii="Arial" w:hAnsi="Arial" w:eastAsia="TimesNewRomanPSMT" w:cs="Arial"/>
          <w:color w:val="000000"/>
          <w:kern w:val="0"/>
          <w:sz w:val="15"/>
          <w:szCs w:val="15"/>
          <w:lang w:val="en-US" w:eastAsia="zh-CN" w:bidi="ar"/>
        </w:rPr>
        <w:fldChar w:fldCharType="begin"/>
      </w:r>
      <w:r>
        <w:rPr>
          <w:rFonts w:hint="default" w:ascii="Arial" w:hAnsi="Arial" w:eastAsia="TimesNewRomanPSMT" w:cs="Arial"/>
          <w:color w:val="000000"/>
          <w:kern w:val="0"/>
          <w:sz w:val="15"/>
          <w:szCs w:val="15"/>
          <w:lang w:val="en-US" w:eastAsia="zh-CN" w:bidi="ar"/>
        </w:rPr>
        <w:instrText xml:space="preserve"> HYPERLINK "http://www.sci-rep.com" </w:instrText>
      </w:r>
      <w:r>
        <w:rPr>
          <w:rFonts w:hint="default" w:ascii="Arial" w:hAnsi="Arial" w:eastAsia="TimesNewRomanPSMT" w:cs="Arial"/>
          <w:color w:val="000000"/>
          <w:kern w:val="0"/>
          <w:sz w:val="15"/>
          <w:szCs w:val="15"/>
          <w:lang w:val="en-US" w:eastAsia="zh-CN" w:bidi="ar"/>
        </w:rPr>
        <w:fldChar w:fldCharType="separate"/>
      </w:r>
      <w:r>
        <w:rPr>
          <w:rStyle w:val="11"/>
          <w:rFonts w:hint="default" w:ascii="Arial" w:hAnsi="Arial" w:eastAsia="TimesNewRomanPSMT" w:cs="Arial"/>
          <w:color w:val="000000"/>
          <w:kern w:val="0"/>
          <w:sz w:val="15"/>
          <w:szCs w:val="15"/>
          <w:lang w:val="en-US" w:eastAsia="zh-CN" w:bidi="ar"/>
        </w:rPr>
        <w:t>http://www.sci-rep.com</w:t>
      </w:r>
      <w:r>
        <w:rPr>
          <w:rFonts w:hint="default" w:ascii="Arial" w:hAnsi="Arial" w:eastAsia="TimesNewRomanPSMT" w:cs="Arial"/>
          <w:color w:val="000000"/>
          <w:kern w:val="0"/>
          <w:sz w:val="15"/>
          <w:szCs w:val="15"/>
          <w:lang w:val="en-US" w:eastAsia="zh-CN" w:bidi="ar"/>
        </w:rPr>
        <w:fldChar w:fldCharType="end"/>
      </w:r>
      <w:r>
        <w:rPr>
          <w:rFonts w:hint="default" w:ascii="Arial" w:hAnsi="Arial" w:eastAsia="TimesNewRomanPSMT" w:cs="Arial"/>
          <w:color w:val="000000"/>
          <w:kern w:val="0"/>
          <w:sz w:val="15"/>
          <w:szCs w:val="15"/>
          <w:lang w:val="en-US" w:eastAsia="zh-CN" w:bidi="ar"/>
        </w:rPr>
        <w:t xml:space="preserve"> </w:t>
      </w:r>
      <w:r>
        <w:rPr>
          <w:rFonts w:hint="default" w:ascii="Arial" w:hAnsi="Arial" w:eastAsia="Helvetica-Condensed" w:cs="Arial"/>
          <w:color w:val="3A65AD"/>
          <w:kern w:val="0"/>
          <w:sz w:val="15"/>
          <w:szCs w:val="15"/>
          <w:lang w:val="en-US" w:eastAsia="zh-CN" w:bidi="ar"/>
        </w:rPr>
        <w:t>doi.org/10.1371/journal.pone.0252303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75" w:firstLineChars="50"/>
        <w:jc w:val="both"/>
        <w:rPr>
          <w:rFonts w:hint="default" w:ascii="Arial" w:hAnsi="Arial" w:cs="Arial"/>
          <w:sz w:val="15"/>
          <w:szCs w:val="15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212121"/>
          <w:spacing w:val="0"/>
          <w:sz w:val="15"/>
          <w:szCs w:val="15"/>
          <w:shd w:val="clear" w:color="auto" w:fill="FFFFFF"/>
        </w:rPr>
        <w:t>Ejeta A, Abdosh T, Hawulte B, Lamessa A, Belete Fite M, Fekadu G. Diabetes</w:t>
      </w:r>
      <w:r>
        <w:rPr>
          <w:rFonts w:hint="default" w:ascii="Arial" w:hAnsi="Arial" w:eastAsia="Segoe UI" w:cs="Arial"/>
          <w:i w:val="0"/>
          <w:iCs w:val="0"/>
          <w:caps w:val="0"/>
          <w:color w:val="212121"/>
          <w:spacing w:val="0"/>
          <w:sz w:val="15"/>
          <w:szCs w:val="15"/>
          <w:shd w:val="clear" w:color="auto" w:fill="FFFFFF"/>
          <w:lang w:val="en-US"/>
        </w:rPr>
        <w:t xml:space="preserve"> </w:t>
      </w:r>
      <w:r>
        <w:rPr>
          <w:rFonts w:hint="default" w:ascii="Arial" w:hAnsi="Arial" w:eastAsia="Segoe UI" w:cs="Arial"/>
          <w:i w:val="0"/>
          <w:iCs w:val="0"/>
          <w:caps w:val="0"/>
          <w:color w:val="212121"/>
          <w:spacing w:val="0"/>
          <w:sz w:val="15"/>
          <w:szCs w:val="15"/>
          <w:shd w:val="clear" w:color="auto" w:fill="FFFFFF"/>
        </w:rPr>
        <w:t>Concordant Comorbidities and Associated Factors Among Adult Diabetic Out-Patients at Hiwot Fana Specialized University Hospital, Harar, Eastern Ethiopia: a Cross-Sectional Study. Diabetes Metab Syndr Obes. 2021 May 21;14:2281-2289. doi: 10.2147/DMSO.S308553. PMID: 34045877; PMCID: PMC8149283.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75" w:firstLineChars="50"/>
        <w:jc w:val="both"/>
        <w:rPr>
          <w:rFonts w:hint="default" w:ascii="Arial" w:hAnsi="Arial" w:eastAsia="Segoe UI" w:cs="Arial"/>
          <w:i w:val="0"/>
          <w:iCs w:val="0"/>
          <w:caps w:val="0"/>
          <w:color w:val="212121"/>
          <w:spacing w:val="0"/>
          <w:sz w:val="15"/>
          <w:szCs w:val="15"/>
          <w:shd w:val="clear" w:color="auto" w:fill="FFFFFF"/>
        </w:rPr>
      </w:pPr>
      <w:r>
        <w:rPr>
          <w:rFonts w:hint="default" w:ascii="Arial" w:hAnsi="Arial" w:eastAsia="Goudy Old Style" w:cs="Arial"/>
          <w:color w:val="000000"/>
          <w:kern w:val="0"/>
          <w:sz w:val="15"/>
          <w:szCs w:val="15"/>
          <w:lang w:val="en-US" w:eastAsia="zh-CN" w:bidi="ar"/>
        </w:rPr>
        <w:t xml:space="preserve">Babure ZK, Ahmed YM, Likasa ST, Jiru FA, Weldemarium TD, Fite MB (2021) Trend Analysis of Malaria Prevalence in East  Wollega Zone, Oromia Regional State, Western Ethiopia, 2020: A retrospective study.. J Women's Health Care 10:515. doi:10.35248/2167 </w:t>
      </w:r>
      <w:r>
        <w:rPr>
          <w:rFonts w:hint="default" w:ascii="Arial" w:hAnsi="Arial" w:eastAsia="GoudyOldStyleT-Regular" w:cs="Arial"/>
          <w:color w:val="000000"/>
          <w:kern w:val="0"/>
          <w:sz w:val="15"/>
          <w:szCs w:val="15"/>
          <w:lang w:val="en-US" w:eastAsia="zh-CN" w:bidi="ar"/>
        </w:rPr>
        <w:t>0420.21.10.515.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75" w:firstLineChars="50"/>
        <w:jc w:val="both"/>
        <w:rPr>
          <w:rFonts w:ascii="Calibri" w:hAnsi="Calibri"/>
          <w:sz w:val="15"/>
          <w:szCs w:val="15"/>
        </w:rPr>
        <w:sectPr>
          <w:type w:val="continuous"/>
          <w:pgSz w:w="11910" w:h="16840"/>
          <w:pgMar w:top="1740" w:right="600" w:bottom="840" w:left="620" w:header="720" w:footer="720" w:gutter="0"/>
          <w:cols w:equalWidth="0" w:num="2">
            <w:col w:w="5214" w:space="138"/>
            <w:col w:w="5338"/>
          </w:cols>
        </w:sectPr>
      </w:pPr>
      <w:r>
        <w:rPr>
          <w:rFonts w:hint="default" w:ascii="Arial" w:hAnsi="Arial" w:eastAsia="SimSun" w:cs="Arial"/>
          <w:color w:val="000000"/>
          <w:kern w:val="0"/>
          <w:sz w:val="15"/>
          <w:szCs w:val="15"/>
          <w:lang w:val="en-US" w:eastAsia="zh-CN" w:bidi="ar"/>
        </w:rPr>
        <w:t>Mekonnen R, Admasu D, Belete M (2018)  Sero-Prevalence of Hepatitis B Virus and Associated Factors Among Pregnant Mothers Attending Antenatal Care in Public Health Facilities, Dire Dawa.  J Med Microb Diagn 7: 281. doi</w:t>
      </w:r>
      <w:r>
        <w:rPr>
          <w:rFonts w:hint="default" w:ascii="Arial" w:hAnsi="Arial" w:eastAsia="SimSun" w:cs="Arial"/>
          <w:color w:val="0072BC"/>
          <w:kern w:val="0"/>
          <w:sz w:val="15"/>
          <w:szCs w:val="15"/>
          <w:lang w:val="en-US" w:eastAsia="zh-CN" w:bidi="ar"/>
        </w:rPr>
        <w:t>10.4172/2161-0703. 100028</w:t>
      </w:r>
    </w:p>
    <w:p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 (150 word limit)</w:t>
      </w:r>
    </w:p>
    <w:p>
      <w:pPr>
        <w:spacing w:before="41" w:line="240" w:lineRule="auto"/>
        <w:ind w:left="213" w:right="231"/>
        <w:jc w:val="both"/>
        <w:rPr>
          <w:rFonts w:ascii="Arial"/>
          <w:sz w:val="14"/>
        </w:rPr>
        <w:sectPr>
          <w:type w:val="continuous"/>
          <w:pgSz w:w="11910" w:h="16840"/>
          <w:pgMar w:top="1740" w:right="600" w:bottom="840" w:left="620" w:header="720" w:footer="720" w:gutter="0"/>
          <w:cols w:space="720" w:num="1"/>
        </w:sectPr>
      </w:pPr>
      <w:r>
        <w:rPr>
          <w:rFonts w:hint="default" w:ascii="Arial" w:hAnsi="Arial" w:cs="Arial"/>
          <w:color w:val="auto"/>
          <w:sz w:val="15"/>
          <w:szCs w:val="15"/>
        </w:rPr>
        <w:t>Dr</w:t>
      </w:r>
      <w:r>
        <w:rPr>
          <w:rFonts w:hint="default" w:ascii="Arial" w:hAnsi="Arial" w:cs="Arial"/>
          <w:color w:val="auto"/>
          <w:sz w:val="15"/>
          <w:szCs w:val="15"/>
          <w:lang w:val="en-US"/>
        </w:rPr>
        <w:t>.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15"/>
          <w:szCs w:val="15"/>
        </w:rPr>
        <w:t>Meseret Belete Fite</w:t>
      </w:r>
      <w:r>
        <w:rPr>
          <w:rFonts w:hint="default" w:ascii="Arial" w:hAnsi="Arial" w:cs="Arial"/>
          <w:color w:val="auto"/>
          <w:sz w:val="15"/>
          <w:szCs w:val="15"/>
        </w:rPr>
        <w:t xml:space="preserve"> has h</w:t>
      </w:r>
      <w:r>
        <w:rPr>
          <w:rFonts w:hint="default" w:ascii="Arial" w:hAnsi="Arial" w:cs="Arial"/>
          <w:color w:val="auto"/>
          <w:sz w:val="15"/>
          <w:szCs w:val="15"/>
          <w:lang w:val="en-US"/>
        </w:rPr>
        <w:t>is</w:t>
      </w:r>
      <w:r>
        <w:rPr>
          <w:rFonts w:hint="default" w:ascii="Arial" w:hAnsi="Arial" w:cs="Arial"/>
          <w:color w:val="auto"/>
          <w:sz w:val="15"/>
          <w:szCs w:val="15"/>
        </w:rPr>
        <w:t xml:space="preserve"> expertise in</w:t>
      </w:r>
      <w:r>
        <w:rPr>
          <w:rFonts w:hint="default" w:ascii="Arial" w:hAnsi="Arial" w:cs="Arial"/>
          <w:color w:val="auto"/>
          <w:sz w:val="15"/>
          <w:szCs w:val="15"/>
          <w:lang w:val="en-US"/>
        </w:rPr>
        <w:t xml:space="preserve"> academic </w:t>
      </w:r>
      <w:r>
        <w:rPr>
          <w:rFonts w:hint="default" w:ascii="Arial" w:hAnsi="Arial" w:cs="Arial"/>
          <w:color w:val="auto"/>
          <w:sz w:val="15"/>
          <w:szCs w:val="15"/>
        </w:rPr>
        <w:t xml:space="preserve"> </w:t>
      </w:r>
      <w:r>
        <w:rPr>
          <w:rFonts w:hint="default" w:ascii="Arial" w:hAnsi="Arial" w:cs="Arial"/>
          <w:color w:val="auto"/>
          <w:sz w:val="15"/>
          <w:szCs w:val="15"/>
          <w:lang w:val="en-US"/>
        </w:rPr>
        <w:t xml:space="preserve">research and teaching </w:t>
      </w:r>
      <w:r>
        <w:rPr>
          <w:rFonts w:hint="default" w:ascii="Arial" w:hAnsi="Arial" w:cs="Arial"/>
          <w:color w:val="auto"/>
          <w:sz w:val="15"/>
          <w:szCs w:val="15"/>
        </w:rPr>
        <w:t xml:space="preserve"> in improving the health and wellbeing.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15"/>
          <w:szCs w:val="15"/>
        </w:rPr>
        <w:t xml:space="preserve"> 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15"/>
          <w:szCs w:val="15"/>
          <w:lang w:val="en-US"/>
        </w:rPr>
        <w:t>He,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15"/>
          <w:szCs w:val="15"/>
        </w:rPr>
        <w:t>currently works at the Institute of Health Sciences,Wollega Universit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15"/>
          <w:szCs w:val="15"/>
          <w:lang w:val="en-US"/>
        </w:rPr>
        <w:t>y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15"/>
          <w:szCs w:val="15"/>
        </w:rPr>
        <w:t>. He is Public health expert. Meseret is interested to do research on public health Nutrition like Dietary practice, Under-nutrition,Anemia, micro-nutrient deficiency, food consumption effect of micronutrient in birth outcome in Ethiopia and Compliance of IFAS in Sub-Saharan Africa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15"/>
          <w:szCs w:val="15"/>
          <w:lang w:val="en-US"/>
        </w:rPr>
        <w:t xml:space="preserve">                                                                                     </w:t>
      </w:r>
      <w:r>
        <w:rPr>
          <w:rFonts w:ascii="Arial"/>
          <w:sz w:val="14"/>
        </w:rPr>
        <w:t xml:space="preserve">Email: </w:t>
      </w:r>
      <w:r>
        <w:rPr>
          <w:rFonts w:hint="default" w:ascii="Arial"/>
          <w:sz w:val="14"/>
          <w:lang w:val="en-US"/>
        </w:rPr>
        <w:t>meseretphd2014@gmail</w:t>
      </w:r>
      <w:r>
        <w:rPr>
          <w:rFonts w:ascii="Arial"/>
          <w:sz w:val="14"/>
        </w:rPr>
        <w:t>.</w:t>
      </w:r>
    </w:p>
    <w:p>
      <w:pPr>
        <w:pStyle w:val="8"/>
        <w:spacing w:before="3"/>
        <w:rPr>
          <w:rFonts w:ascii="Minion Pro"/>
          <w:sz w:val="26"/>
        </w:rPr>
      </w:pPr>
    </w:p>
    <w:sectPr>
      <w:type w:val="continuous"/>
      <w:pgSz w:w="11910" w:h="16840"/>
      <w:pgMar w:top="1740" w:right="580" w:bottom="840" w:left="620" w:header="720" w:footer="720" w:gutter="0"/>
      <w:cols w:equalWidth="0" w:num="2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yriad Pro">
    <w:altName w:val="Corbe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NvslvmAdvTT86d47313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Pro-Regular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kwmbkAdvTT86d47313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Sans-Semibold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40319B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46dcae81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a9103878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403A40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PalladioL-Roma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onymous">
    <w:panose1 w:val="02000409000000000000"/>
    <w:charset w:val="00"/>
    <w:family w:val="auto"/>
    <w:pitch w:val="default"/>
    <w:sig w:usb0="80000007" w:usb1="00000000" w:usb2="00000000" w:usb3="00000000" w:csb0="20000111" w:csb1="40000000"/>
  </w:font>
  <w:font w:name="Helvetica-Condensed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ItalicMT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Goudy Old Style">
    <w:panose1 w:val="02020502050305020303"/>
    <w:charset w:val="00"/>
    <w:family w:val="auto"/>
    <w:pitch w:val="default"/>
    <w:sig w:usb0="00000003" w:usb1="00000000" w:usb2="00000000" w:usb3="00000000" w:csb0="20000001" w:csb1="00000000"/>
  </w:font>
  <w:font w:name="GoudyOldStyleT-Regular">
    <w:altName w:val="Anonymous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 Pain Relief</w:t>
                          </w:r>
                        </w:p>
                        <w:p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5168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JbqTaAAAADAEAAA8AAAAAAAAAAQAgAAAAIgAAAGRycy9kb3du&#10;cmV2LnhtbFBLAQIUABQAAAAIAIdO4kB7KTtJ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Fibromyalgia 2016</w:t>
                          </w:r>
                        </w:p>
                        <w:p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5168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gNYJNoAAAANAQAADwAAAAAAAAABACAAAAAiAAAAZHJzL2Rvd25y&#10;ZXYueG1sUEsBAhQAFAAAAAgAh07iQKBoTD38AQAABA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251655168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MZ2dsAAAAOAQAADwAAAAAAAAABACAAAAAiAAAAZHJzL2Rvd25y&#10;ZXYueG1sUEsBAhQAFAAAAAgAh07iQPGdWzv7AQAABA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416pt;margin-top:26.05pt;height:17.4pt;width:144.3pt;mso-position-horizontal-relative:page;mso-position-vertical-relative:page;z-index:-251655168;mso-width-relative:page;mso-height-relative:page;" filled="f" stroked="f" coordsize="21600,21600" o:gfxdata="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KdYriNkAAAAKAQAADwAAAAAAAAABACAAAAAiAAAAZHJzL2Rvd25y&#10;ZXYueG1sUEsBAhQAFAAAAAgAh07iQHQt39b9AQAABQQAAA4AAAAAAAAAAQAgAAAAKA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International Conference on</w:t>
                          </w:r>
                        </w:p>
                        <w:p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35pt;margin-top:48.3pt;height:40.1pt;width:515.95pt;mso-position-horizontal-relative:page;mso-position-vertical-relative:page;z-index:-251655168;mso-width-relative:page;mso-height-relative:page;" filled="f" stroked="f" coordsize="21600,21600" o:gfxdata="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ML0Fa2AAAAAoBAAAPAAAAAAAAAAEAIAAAACIAAABkcnMvZG93bnJl&#10;di54bWxQSwECFAAUAAAACACHTuJAnH8oOP0BAAAFBAAADgAAAAAAAAABACAAAAAn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International Conference on</w:t>
                    </w:r>
                  </w:p>
                  <w:p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(June 15-16, 2016   Philadelphia, USA)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DC52FD"/>
    <w:multiLevelType w:val="singleLevel"/>
    <w:tmpl w:val="02DC52F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C10D5"/>
    <w:rsid w:val="004F3523"/>
    <w:rsid w:val="00567406"/>
    <w:rsid w:val="005973B9"/>
    <w:rsid w:val="005B3A56"/>
    <w:rsid w:val="006060CE"/>
    <w:rsid w:val="0063497F"/>
    <w:rsid w:val="0078738A"/>
    <w:rsid w:val="00861E8E"/>
    <w:rsid w:val="00873DF0"/>
    <w:rsid w:val="008756E6"/>
    <w:rsid w:val="008C583B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  <w:rsid w:val="10521CAA"/>
    <w:rsid w:val="2FD31FA3"/>
    <w:rsid w:val="341E1CB5"/>
    <w:rsid w:val="34831050"/>
    <w:rsid w:val="3D5E7B43"/>
    <w:rsid w:val="44866EBF"/>
    <w:rsid w:val="483A7C3C"/>
    <w:rsid w:val="6A7D0AD3"/>
    <w:rsid w:val="6D933958"/>
    <w:rsid w:val="713766DE"/>
    <w:rsid w:val="71B450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jc w:val="both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6"/>
    <w:semiHidden/>
    <w:unhideWhenUsed/>
    <w:uiPriority w:val="99"/>
    <w:rPr>
      <w:rFonts w:ascii="Tahoma" w:hAnsi="Tahoma" w:cs="Tahoma"/>
      <w:sz w:val="16"/>
      <w:szCs w:val="16"/>
    </w:rPr>
  </w:style>
  <w:style w:type="paragraph" w:styleId="8">
    <w:name w:val="Body Text"/>
    <w:basedOn w:val="1"/>
    <w:link w:val="17"/>
    <w:qFormat/>
    <w:uiPriority w:val="1"/>
    <w:rPr>
      <w:sz w:val="18"/>
      <w:szCs w:val="18"/>
    </w:rPr>
  </w:style>
  <w:style w:type="paragraph" w:styleId="9">
    <w:name w:val="footer"/>
    <w:basedOn w:val="1"/>
    <w:link w:val="15"/>
    <w:unhideWhenUsed/>
    <w:uiPriority w:val="99"/>
    <w:pPr>
      <w:tabs>
        <w:tab w:val="center" w:pos="4513"/>
        <w:tab w:val="right" w:pos="9026"/>
      </w:tabs>
    </w:pPr>
  </w:style>
  <w:style w:type="paragraph" w:styleId="10">
    <w:name w:val="header"/>
    <w:basedOn w:val="1"/>
    <w:link w:val="14"/>
    <w:unhideWhenUsed/>
    <w:uiPriority w:val="99"/>
    <w:pPr>
      <w:tabs>
        <w:tab w:val="center" w:pos="4513"/>
        <w:tab w:val="right" w:pos="9026"/>
      </w:tabs>
    </w:pPr>
  </w:style>
  <w:style w:type="character" w:styleId="11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Header Char"/>
    <w:basedOn w:val="5"/>
    <w:link w:val="10"/>
    <w:uiPriority w:val="99"/>
    <w:rPr>
      <w:rFonts w:ascii="Tw Cen MT" w:hAnsi="Tw Cen MT" w:eastAsia="Tw Cen MT" w:cs="Tw Cen MT"/>
    </w:rPr>
  </w:style>
  <w:style w:type="character" w:customStyle="1" w:styleId="15">
    <w:name w:val="Footer Char"/>
    <w:basedOn w:val="5"/>
    <w:link w:val="9"/>
    <w:uiPriority w:val="99"/>
    <w:rPr>
      <w:rFonts w:ascii="Tw Cen MT" w:hAnsi="Tw Cen MT" w:eastAsia="Tw Cen MT" w:cs="Tw Cen MT"/>
    </w:rPr>
  </w:style>
  <w:style w:type="character" w:customStyle="1" w:styleId="16">
    <w:name w:val="Balloon Text Char"/>
    <w:basedOn w:val="5"/>
    <w:link w:val="7"/>
    <w:semiHidden/>
    <w:uiPriority w:val="99"/>
    <w:rPr>
      <w:rFonts w:ascii="Tahoma" w:hAnsi="Tahoma" w:eastAsia="Tw Cen MT" w:cs="Tahoma"/>
      <w:sz w:val="16"/>
      <w:szCs w:val="16"/>
    </w:rPr>
  </w:style>
  <w:style w:type="character" w:customStyle="1" w:styleId="17">
    <w:name w:val="Body Text Char"/>
    <w:basedOn w:val="5"/>
    <w:link w:val="8"/>
    <w:uiPriority w:val="1"/>
    <w:rPr>
      <w:rFonts w:ascii="Tw Cen MT" w:hAnsi="Tw Cen MT" w:eastAsia="Tw Cen MT" w:cs="Tw Cen MT"/>
      <w:sz w:val="18"/>
      <w:szCs w:val="18"/>
    </w:rPr>
  </w:style>
  <w:style w:type="character" w:customStyle="1" w:styleId="18">
    <w:name w:val="Style1"/>
    <w:basedOn w:val="5"/>
    <w:uiPriority w:val="0"/>
    <w:rPr>
      <w:rFonts w:ascii="Times New Roman" w:hAnsi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538</Words>
  <Characters>3071</Characters>
  <Lines>25</Lines>
  <Paragraphs>7</Paragraphs>
  <TotalTime>4</TotalTime>
  <ScaleCrop>false</ScaleCrop>
  <LinksUpToDate>false</LinksUpToDate>
  <CharactersWithSpaces>3602</CharactersWithSpaces>
  <Application>WPS Office_11.2.0.10265_F1E327BC-269C-435d-A152-05C5408002CA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2016-08-31T13:10:00Z</dcterms:created>
  <dc:creator>mehaboobi shaik</dc:creator>
  <cp:lastModifiedBy>HP</cp:lastModifiedBy>
  <dcterms:modified xsi:type="dcterms:W3CDTF">2021-09-18T15:40:56Z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1033-11.2.0.10265</vt:lpwstr>
  </property>
  <property fmtid="{D5CDD505-2E9C-101B-9397-08002B2CF9AE}" pid="6" name="ICV">
    <vt:lpwstr>166CEC27064B40DFB2680B1EE0BFDCCA</vt:lpwstr>
  </property>
</Properties>
</file>