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320" w:rsidRPr="00482A5D" w:rsidRDefault="00006320" w:rsidP="00006320">
      <w:pPr>
        <w:rPr>
          <w:rFonts w:ascii="Verdana" w:hAnsi="Verdana"/>
          <w:b/>
          <w:sz w:val="28"/>
          <w:szCs w:val="28"/>
        </w:rPr>
      </w:pPr>
      <w:r w:rsidRPr="00482A5D">
        <w:rPr>
          <w:rFonts w:ascii="Verdana" w:hAnsi="Verdana"/>
          <w:b/>
          <w:sz w:val="28"/>
          <w:szCs w:val="28"/>
        </w:rPr>
        <w:t>Preliminary Analysis: Nursing Turnover Rates, Nursing Students, Self-Efficacy, Continuous Self-Improvement, and Coping Skills</w:t>
      </w:r>
    </w:p>
    <w:p w:rsidR="00006320" w:rsidRDefault="00006320">
      <w:pPr>
        <w:pStyle w:val="BodyText"/>
        <w:spacing w:before="73" w:line="198" w:lineRule="exact"/>
        <w:ind w:left="100" w:right="5967"/>
        <w:rPr>
          <w:rFonts w:ascii="Arial"/>
        </w:rPr>
      </w:pPr>
    </w:p>
    <w:p w:rsidR="00AE3E37" w:rsidRDefault="00006320">
      <w:pPr>
        <w:pStyle w:val="BodyText"/>
        <w:spacing w:before="73" w:line="198" w:lineRule="exact"/>
        <w:ind w:left="100" w:right="5967"/>
        <w:rPr>
          <w:rFonts w:ascii="Arial"/>
        </w:rPr>
      </w:pPr>
      <w:r>
        <w:rPr>
          <w:rFonts w:ascii="Arial"/>
        </w:rPr>
        <w:t xml:space="preserve">Dale </w:t>
      </w:r>
      <w:proofErr w:type="spellStart"/>
      <w:r>
        <w:rPr>
          <w:rFonts w:ascii="Arial"/>
        </w:rPr>
        <w:t>Hilty</w:t>
      </w:r>
      <w:proofErr w:type="spellEnd"/>
      <w:r>
        <w:rPr>
          <w:rFonts w:ascii="Arial"/>
        </w:rPr>
        <w:t>, PhD</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032DCF" w:rsidRPr="00032DCF" w:rsidRDefault="00032DCF" w:rsidP="00006320">
      <w:pPr>
        <w:spacing w:before="60" w:after="60"/>
        <w:rPr>
          <w:rFonts w:ascii="Verdana" w:hAnsi="Verdana" w:cs="FhgsfjAdvTT86d47313"/>
          <w:color w:val="131413"/>
          <w:sz w:val="16"/>
          <w:szCs w:val="16"/>
        </w:rPr>
      </w:pPr>
      <w:r w:rsidRPr="00032DCF">
        <w:rPr>
          <w:rFonts w:ascii="Verdana" w:hAnsi="Verdana"/>
          <w:sz w:val="16"/>
          <w:szCs w:val="16"/>
        </w:rPr>
        <w:t>Halter and colleagues (2017) reviewed primary research articles using the Nursing Turnover Cost Calculation Methodology and found the turnover rate was 27% (Duffield et al, 2014) in the United States.  Halter and colleagues (2017) summarized Li and Jones' (2013</w:t>
      </w:r>
      <w:r w:rsidR="00006320">
        <w:rPr>
          <w:rFonts w:ascii="Verdana" w:hAnsi="Verdana"/>
          <w:sz w:val="16"/>
          <w:szCs w:val="16"/>
        </w:rPr>
        <w:t xml:space="preserve">, p. </w:t>
      </w:r>
      <w:r w:rsidRPr="00032DCF">
        <w:rPr>
          <w:rFonts w:ascii="Verdana" w:hAnsi="Verdana"/>
          <w:sz w:val="16"/>
          <w:szCs w:val="16"/>
        </w:rPr>
        <w:t>) findings: "</w:t>
      </w:r>
      <w:r w:rsidRPr="00032DCF">
        <w:rPr>
          <w:rFonts w:ascii="Verdana" w:hAnsi="Verdana" w:cs="FhgsfjAdvTT86d47313"/>
          <w:color w:val="131413"/>
          <w:sz w:val="16"/>
          <w:szCs w:val="16"/>
        </w:rPr>
        <w:t>This review was based on ten studies, eight of which were in acute hospital settings, all conducted in the USA, with one also in each of Australasia and Canada. The review reported costs of per nurse turnover ranging from $10,098 to $88,000 ...."</w:t>
      </w:r>
    </w:p>
    <w:p w:rsidR="00032DCF" w:rsidRPr="00032DCF" w:rsidRDefault="00032DCF" w:rsidP="00006320">
      <w:pPr>
        <w:spacing w:before="60" w:after="60"/>
        <w:rPr>
          <w:rFonts w:ascii="Verdana" w:hAnsi="Verdana" w:cs="FhgsfjAdvTT86d47313"/>
          <w:color w:val="131413"/>
          <w:sz w:val="16"/>
          <w:szCs w:val="16"/>
        </w:rPr>
      </w:pPr>
    </w:p>
    <w:p w:rsidR="00032DCF" w:rsidRPr="00032DCF" w:rsidRDefault="00032DCF" w:rsidP="00006320">
      <w:pPr>
        <w:spacing w:before="60" w:after="60"/>
        <w:rPr>
          <w:rFonts w:ascii="Verdana" w:hAnsi="Verdana"/>
          <w:sz w:val="16"/>
          <w:szCs w:val="16"/>
        </w:rPr>
      </w:pPr>
      <w:r w:rsidRPr="00032DCF">
        <w:rPr>
          <w:rFonts w:ascii="Verdana" w:hAnsi="Verdana"/>
          <w:sz w:val="16"/>
          <w:szCs w:val="16"/>
        </w:rPr>
        <w:t>The purpose of this educational intervention was to determine whether high and moderate-low scores on self-efficacy differentiated coping skills with a sample of nursing students.  Instrumentation:  Self-Efficacy (</w:t>
      </w:r>
      <w:proofErr w:type="spellStart"/>
      <w:r w:rsidRPr="00032DCF">
        <w:rPr>
          <w:rFonts w:ascii="Verdana" w:hAnsi="Verdana"/>
          <w:sz w:val="16"/>
          <w:szCs w:val="16"/>
        </w:rPr>
        <w:t>Schwarzer</w:t>
      </w:r>
      <w:proofErr w:type="spellEnd"/>
      <w:r w:rsidRPr="00032DCF">
        <w:rPr>
          <w:rFonts w:ascii="Verdana" w:hAnsi="Verdana"/>
          <w:sz w:val="16"/>
          <w:szCs w:val="16"/>
        </w:rPr>
        <w:t xml:space="preserve"> &amp; </w:t>
      </w:r>
      <w:proofErr w:type="spellStart"/>
      <w:r w:rsidRPr="00032DCF">
        <w:rPr>
          <w:rFonts w:ascii="Verdana" w:hAnsi="Verdana"/>
          <w:sz w:val="16"/>
          <w:szCs w:val="16"/>
        </w:rPr>
        <w:t>Jerusaslem</w:t>
      </w:r>
      <w:proofErr w:type="spellEnd"/>
      <w:r w:rsidRPr="00032DCF">
        <w:rPr>
          <w:rFonts w:ascii="Verdana" w:hAnsi="Verdana"/>
          <w:sz w:val="16"/>
          <w:szCs w:val="16"/>
        </w:rPr>
        <w:t xml:space="preserve">, 1995), </w:t>
      </w:r>
      <w:proofErr w:type="spellStart"/>
      <w:r w:rsidRPr="00032DCF">
        <w:rPr>
          <w:rFonts w:ascii="Verdana" w:hAnsi="Verdana"/>
          <w:sz w:val="16"/>
          <w:szCs w:val="16"/>
        </w:rPr>
        <w:t>Wooden's</w:t>
      </w:r>
      <w:proofErr w:type="spellEnd"/>
      <w:r w:rsidRPr="00032DCF">
        <w:rPr>
          <w:rFonts w:ascii="Verdana" w:hAnsi="Verdana"/>
          <w:sz w:val="16"/>
          <w:szCs w:val="16"/>
        </w:rPr>
        <w:t xml:space="preserve"> Competitive Greatness (</w:t>
      </w:r>
      <w:proofErr w:type="spellStart"/>
      <w:r w:rsidRPr="00032DCF">
        <w:rPr>
          <w:rFonts w:ascii="Verdana" w:hAnsi="Verdana"/>
          <w:sz w:val="16"/>
          <w:szCs w:val="16"/>
        </w:rPr>
        <w:t>Hilty</w:t>
      </w:r>
      <w:proofErr w:type="spellEnd"/>
      <w:r w:rsidRPr="00032DCF">
        <w:rPr>
          <w:rFonts w:ascii="Verdana" w:hAnsi="Verdana"/>
          <w:sz w:val="16"/>
          <w:szCs w:val="16"/>
        </w:rPr>
        <w:t xml:space="preserve">, 2017) construct (i.e., being the best you can be when your best is needed, continuous self-improvement, appreciating difficult challenges), and </w:t>
      </w:r>
      <w:proofErr w:type="spellStart"/>
      <w:r w:rsidRPr="00032DCF">
        <w:rPr>
          <w:rFonts w:ascii="Verdana" w:hAnsi="Verdana"/>
          <w:sz w:val="16"/>
          <w:szCs w:val="16"/>
        </w:rPr>
        <w:t>Greenglass</w:t>
      </w:r>
      <w:proofErr w:type="spellEnd"/>
      <w:r w:rsidRPr="00032DCF">
        <w:rPr>
          <w:rFonts w:ascii="Verdana" w:hAnsi="Verdana"/>
          <w:sz w:val="16"/>
          <w:szCs w:val="16"/>
        </w:rPr>
        <w:t>' et al. (1999) proactive coping, reflective coping, and strategic planning.  If nursing students reported different levels of</w:t>
      </w:r>
      <w:r w:rsidR="00482A5D">
        <w:rPr>
          <w:rFonts w:ascii="Verdana" w:hAnsi="Verdana"/>
          <w:sz w:val="16"/>
          <w:szCs w:val="16"/>
        </w:rPr>
        <w:t xml:space="preserve"> continuous self-improvement and</w:t>
      </w:r>
      <w:r w:rsidRPr="00032DCF">
        <w:rPr>
          <w:rFonts w:ascii="Verdana" w:hAnsi="Verdana"/>
          <w:sz w:val="16"/>
          <w:szCs w:val="16"/>
        </w:rPr>
        <w:t xml:space="preserve"> coping skills in relation to self-efficacy, it may be possible to track these students following graduation to determine the relationship between turnover rates and these research constructs.</w:t>
      </w:r>
    </w:p>
    <w:p w:rsidR="00032DCF" w:rsidRPr="00032DCF" w:rsidRDefault="00032DCF" w:rsidP="00006320">
      <w:pPr>
        <w:spacing w:before="60" w:after="60"/>
        <w:rPr>
          <w:rFonts w:ascii="Verdana" w:hAnsi="Verdana" w:cs="FhgsfjAdvTT86d47313"/>
          <w:color w:val="131413"/>
          <w:sz w:val="16"/>
          <w:szCs w:val="16"/>
        </w:rPr>
      </w:pPr>
    </w:p>
    <w:p w:rsidR="00032DCF" w:rsidRPr="00032DCF" w:rsidRDefault="00032DCF" w:rsidP="00006320">
      <w:pPr>
        <w:spacing w:before="60" w:after="60"/>
        <w:rPr>
          <w:rFonts w:ascii="Verdana" w:hAnsi="Verdana"/>
          <w:sz w:val="16"/>
          <w:szCs w:val="16"/>
        </w:rPr>
      </w:pPr>
      <w:r w:rsidRPr="00032DCF">
        <w:rPr>
          <w:rFonts w:ascii="Verdana" w:hAnsi="Verdana"/>
          <w:sz w:val="16"/>
          <w:szCs w:val="16"/>
        </w:rPr>
        <w:t>A sample of Bachelor of Science in Nursing (BSN) traditional students were divided into two groups using the self-efficacy scales.  Hypothesis 1: There would be a difference between self-efficacy</w:t>
      </w:r>
      <w:r w:rsidR="00482A5D">
        <w:rPr>
          <w:rFonts w:ascii="Verdana" w:hAnsi="Verdana"/>
          <w:sz w:val="16"/>
          <w:szCs w:val="16"/>
        </w:rPr>
        <w:t xml:space="preserve"> (</w:t>
      </w:r>
      <w:r w:rsidRPr="00032DCF">
        <w:rPr>
          <w:rFonts w:ascii="Verdana" w:hAnsi="Verdana"/>
          <w:sz w:val="16"/>
          <w:szCs w:val="16"/>
        </w:rPr>
        <w:t>high and moderate-low scoring groups</w:t>
      </w:r>
      <w:r w:rsidR="00482A5D">
        <w:rPr>
          <w:rFonts w:ascii="Verdana" w:hAnsi="Verdana"/>
          <w:sz w:val="16"/>
          <w:szCs w:val="16"/>
        </w:rPr>
        <w:t>)</w:t>
      </w:r>
      <w:r w:rsidRPr="00032DCF">
        <w:rPr>
          <w:rFonts w:ascii="Verdana" w:hAnsi="Verdana"/>
          <w:sz w:val="16"/>
          <w:szCs w:val="16"/>
        </w:rPr>
        <w:t xml:space="preserve"> when compared to the Proactive Coping, Reflective Coping, Strategic Planning scales (SPSS 25, Independent </w:t>
      </w:r>
      <w:r w:rsidRPr="00032DCF">
        <w:rPr>
          <w:rFonts w:ascii="Verdana" w:hAnsi="Verdana"/>
          <w:i/>
          <w:iCs/>
          <w:sz w:val="16"/>
          <w:szCs w:val="16"/>
        </w:rPr>
        <w:t>t</w:t>
      </w:r>
      <w:r w:rsidRPr="00032DCF">
        <w:rPr>
          <w:rFonts w:ascii="Verdana" w:hAnsi="Verdana"/>
          <w:sz w:val="16"/>
          <w:szCs w:val="16"/>
        </w:rPr>
        <w:t>-test).  Hypothesis 2: A difference would be found using self-efficacy as the dependent variable and competitive greatness</w:t>
      </w:r>
      <w:r w:rsidR="00482A5D">
        <w:rPr>
          <w:rFonts w:ascii="Verdana" w:hAnsi="Verdana"/>
          <w:sz w:val="16"/>
          <w:szCs w:val="16"/>
        </w:rPr>
        <w:t xml:space="preserve"> (i.e., continuous self-improvement)</w:t>
      </w:r>
      <w:r w:rsidRPr="00032DCF">
        <w:rPr>
          <w:rFonts w:ascii="Verdana" w:hAnsi="Verdana"/>
          <w:sz w:val="16"/>
          <w:szCs w:val="16"/>
        </w:rPr>
        <w:t xml:space="preserve"> as the predicator variable (SPSS 25, linear regression).  </w:t>
      </w:r>
    </w:p>
    <w:p w:rsidR="00AE3E37" w:rsidRDefault="00A9710C">
      <w:pPr>
        <w:pStyle w:val="Heading3"/>
        <w:spacing w:before="74"/>
      </w:pPr>
      <w:r>
        <w:rPr>
          <w:b w:val="0"/>
        </w:rPr>
        <w:br w:type="column"/>
      </w:r>
    </w:p>
    <w:p w:rsidR="00006320" w:rsidRDefault="00006320" w:rsidP="00032DCF">
      <w:pPr>
        <w:rPr>
          <w:rFonts w:ascii="Verdana" w:hAnsi="Verdana"/>
          <w:sz w:val="16"/>
          <w:szCs w:val="16"/>
        </w:rPr>
      </w:pPr>
    </w:p>
    <w:p w:rsidR="00032DCF" w:rsidRPr="00032DCF" w:rsidRDefault="00032DCF" w:rsidP="00032DCF">
      <w:pPr>
        <w:rPr>
          <w:rFonts w:ascii="Verdana" w:hAnsi="Verdana"/>
          <w:sz w:val="16"/>
          <w:szCs w:val="16"/>
        </w:rPr>
      </w:pPr>
      <w:r w:rsidRPr="00032DCF">
        <w:rPr>
          <w:rFonts w:ascii="Verdana" w:hAnsi="Verdana"/>
          <w:sz w:val="16"/>
          <w:szCs w:val="16"/>
        </w:rPr>
        <w:t xml:space="preserve">Independent </w:t>
      </w:r>
      <w:r w:rsidRPr="00032DCF">
        <w:rPr>
          <w:rFonts w:ascii="Verdana" w:hAnsi="Verdana"/>
          <w:i/>
          <w:iCs/>
          <w:sz w:val="16"/>
          <w:szCs w:val="16"/>
        </w:rPr>
        <w:t>t</w:t>
      </w:r>
      <w:r w:rsidRPr="00032DCF">
        <w:rPr>
          <w:rFonts w:ascii="Verdana" w:hAnsi="Verdana"/>
          <w:sz w:val="16"/>
          <w:szCs w:val="16"/>
        </w:rPr>
        <w:t>-test (N=61) analys</w:t>
      </w:r>
      <w:r w:rsidR="00482A5D">
        <w:rPr>
          <w:rFonts w:ascii="Verdana" w:hAnsi="Verdana"/>
          <w:sz w:val="16"/>
          <w:szCs w:val="16"/>
        </w:rPr>
        <w:t>e</w:t>
      </w:r>
      <w:r w:rsidRPr="00032DCF">
        <w:rPr>
          <w:rFonts w:ascii="Verdana" w:hAnsi="Verdana"/>
          <w:sz w:val="16"/>
          <w:szCs w:val="16"/>
        </w:rPr>
        <w:t>s found significant differences between Proactive Coping (p=.001 ), Reflective Coping (p=.001), and Strategic Planning (p=.001)</w:t>
      </w:r>
      <w:r w:rsidR="00482A5D">
        <w:rPr>
          <w:rFonts w:ascii="Verdana" w:hAnsi="Verdana"/>
          <w:sz w:val="16"/>
          <w:szCs w:val="16"/>
        </w:rPr>
        <w:t xml:space="preserve"> scales</w:t>
      </w:r>
      <w:r w:rsidRPr="00032DCF">
        <w:rPr>
          <w:rFonts w:ascii="Verdana" w:hAnsi="Verdana"/>
          <w:sz w:val="16"/>
          <w:szCs w:val="16"/>
        </w:rPr>
        <w:t xml:space="preserve">.  The linear regression analysis confirmed the </w:t>
      </w:r>
      <w:r w:rsidR="00482A5D">
        <w:rPr>
          <w:rFonts w:ascii="Verdana" w:hAnsi="Verdana"/>
          <w:sz w:val="16"/>
          <w:szCs w:val="16"/>
        </w:rPr>
        <w:t xml:space="preserve">hypothesis 2 </w:t>
      </w:r>
      <w:r w:rsidRPr="00032DCF">
        <w:rPr>
          <w:rFonts w:ascii="Verdana" w:hAnsi="Verdana"/>
          <w:sz w:val="16"/>
          <w:szCs w:val="16"/>
        </w:rPr>
        <w:t>prediction and produced a correlation between self-efficacy and competitive greatness of .515 (r square = .265) which is significant (F (1, 59)=21.307, p=.001).  Higher levels of self-efficacy are associated with higher levels of continuous self-improvement.</w:t>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Pr="00032DCF" w:rsidRDefault="00AE3E37">
      <w:pPr>
        <w:spacing w:line="200" w:lineRule="exact"/>
        <w:jc w:val="both"/>
        <w:rPr>
          <w:rFonts w:ascii="Verdana" w:hAnsi="Verdana"/>
        </w:rPr>
      </w:pPr>
    </w:p>
    <w:p w:rsidR="00032DCF" w:rsidRPr="00032DCF" w:rsidRDefault="00032DCF" w:rsidP="00006320">
      <w:pPr>
        <w:pStyle w:val="ListParagraph"/>
        <w:numPr>
          <w:ilvl w:val="0"/>
          <w:numId w:val="3"/>
        </w:numPr>
        <w:spacing w:before="0" w:line="240" w:lineRule="auto"/>
        <w:jc w:val="left"/>
        <w:rPr>
          <w:rFonts w:ascii="Verdana" w:hAnsi="Verdana" w:cs="StvrmcAdvTTb5929f4c"/>
          <w:color w:val="131413"/>
          <w:sz w:val="16"/>
          <w:szCs w:val="16"/>
        </w:rPr>
      </w:pPr>
      <w:r w:rsidRPr="00032DCF">
        <w:rPr>
          <w:rFonts w:ascii="Verdana" w:hAnsi="Verdana" w:cs="StvrmcAdvTTb5929f4c"/>
          <w:color w:val="131413"/>
          <w:sz w:val="16"/>
          <w:szCs w:val="16"/>
        </w:rPr>
        <w:t xml:space="preserve">Duffield, C., Roche, M., Homer, C, Buchan, J, &amp; </w:t>
      </w:r>
      <w:proofErr w:type="spellStart"/>
      <w:r w:rsidRPr="00032DCF">
        <w:rPr>
          <w:rFonts w:ascii="Verdana" w:hAnsi="Verdana" w:cs="StvrmcAdvTTb5929f4c"/>
          <w:color w:val="131413"/>
          <w:sz w:val="16"/>
          <w:szCs w:val="16"/>
        </w:rPr>
        <w:t>Dimitrelis</w:t>
      </w:r>
      <w:proofErr w:type="spellEnd"/>
      <w:r w:rsidRPr="00032DCF">
        <w:rPr>
          <w:rFonts w:ascii="Verdana" w:hAnsi="Verdana" w:cs="StvrmcAdvTTb5929f4c"/>
          <w:color w:val="131413"/>
          <w:sz w:val="16"/>
          <w:szCs w:val="16"/>
        </w:rPr>
        <w:t xml:space="preserve">, S.   (2014).  </w:t>
      </w:r>
      <w:r w:rsidRPr="00006320">
        <w:rPr>
          <w:rFonts w:ascii="Verdana" w:hAnsi="Verdana" w:cs="StvrmcAdvTTb5929f4c"/>
          <w:i/>
          <w:color w:val="131413"/>
          <w:sz w:val="16"/>
          <w:szCs w:val="16"/>
        </w:rPr>
        <w:t>A comparative review of nurse turnover rates and costs across countries</w:t>
      </w:r>
      <w:r w:rsidRPr="00032DCF">
        <w:rPr>
          <w:rFonts w:ascii="Verdana" w:hAnsi="Verdana" w:cs="StvrmcAdvTTb5929f4c"/>
          <w:color w:val="131413"/>
          <w:sz w:val="16"/>
          <w:szCs w:val="16"/>
        </w:rPr>
        <w:t xml:space="preserve">.  </w:t>
      </w:r>
      <w:r w:rsidRPr="00032DCF">
        <w:rPr>
          <w:rFonts w:ascii="Verdana" w:hAnsi="Verdana" w:cs="AdvPSSAB-I"/>
          <w:sz w:val="16"/>
          <w:szCs w:val="16"/>
        </w:rPr>
        <w:t xml:space="preserve">Journal of Advanced Nursing </w:t>
      </w:r>
      <w:r w:rsidRPr="00032DCF">
        <w:rPr>
          <w:rFonts w:ascii="Verdana" w:hAnsi="Verdana" w:cs="AdvPSSab-B"/>
          <w:sz w:val="16"/>
          <w:szCs w:val="16"/>
        </w:rPr>
        <w:t>70</w:t>
      </w:r>
      <w:r w:rsidRPr="00032DCF">
        <w:rPr>
          <w:rFonts w:ascii="Verdana" w:hAnsi="Verdana" w:cs="AdvPSSAB-R"/>
          <w:sz w:val="16"/>
          <w:szCs w:val="16"/>
        </w:rPr>
        <w:t>(12), 2703</w:t>
      </w:r>
      <w:r w:rsidRPr="00032DCF">
        <w:rPr>
          <w:rFonts w:ascii="Verdana" w:hAnsi="Verdana" w:cs="AdvTT3713a231+20"/>
          <w:sz w:val="16"/>
          <w:szCs w:val="16"/>
        </w:rPr>
        <w:t>–</w:t>
      </w:r>
      <w:r w:rsidRPr="00032DCF">
        <w:rPr>
          <w:rFonts w:ascii="Verdana" w:hAnsi="Verdana" w:cs="AdvPSSAB-R"/>
          <w:sz w:val="16"/>
          <w:szCs w:val="16"/>
        </w:rPr>
        <w:t xml:space="preserve">2712. </w:t>
      </w:r>
      <w:proofErr w:type="spellStart"/>
      <w:r w:rsidRPr="00032DCF">
        <w:rPr>
          <w:rFonts w:ascii="Verdana" w:hAnsi="Verdana" w:cs="AdvPSSab-B"/>
          <w:sz w:val="16"/>
          <w:szCs w:val="16"/>
        </w:rPr>
        <w:t>doi</w:t>
      </w:r>
      <w:proofErr w:type="spellEnd"/>
      <w:r w:rsidRPr="00032DCF">
        <w:rPr>
          <w:rFonts w:ascii="Verdana" w:hAnsi="Verdana" w:cs="AdvPSSab-B"/>
          <w:sz w:val="16"/>
          <w:szCs w:val="16"/>
        </w:rPr>
        <w:t>: 10.1111/jan.12483</w:t>
      </w:r>
    </w:p>
    <w:p w:rsidR="00032DCF" w:rsidRPr="00032DCF" w:rsidRDefault="00032DCF" w:rsidP="00006320">
      <w:pPr>
        <w:pStyle w:val="ListParagraph"/>
        <w:numPr>
          <w:ilvl w:val="0"/>
          <w:numId w:val="3"/>
        </w:numPr>
        <w:spacing w:before="0" w:line="240" w:lineRule="auto"/>
        <w:jc w:val="left"/>
        <w:rPr>
          <w:rFonts w:ascii="Verdana" w:hAnsi="Verdana"/>
          <w:sz w:val="16"/>
          <w:szCs w:val="16"/>
        </w:rPr>
      </w:pPr>
      <w:proofErr w:type="spellStart"/>
      <w:r w:rsidRPr="00032DCF">
        <w:rPr>
          <w:rFonts w:ascii="Verdana" w:hAnsi="Verdana"/>
          <w:sz w:val="16"/>
          <w:szCs w:val="16"/>
        </w:rPr>
        <w:t>Greenglass</w:t>
      </w:r>
      <w:proofErr w:type="spellEnd"/>
      <w:r w:rsidRPr="00032DCF">
        <w:rPr>
          <w:rFonts w:ascii="Verdana" w:hAnsi="Verdana"/>
          <w:sz w:val="16"/>
          <w:szCs w:val="16"/>
        </w:rPr>
        <w:t xml:space="preserve">, E., </w:t>
      </w:r>
      <w:proofErr w:type="spellStart"/>
      <w:r w:rsidRPr="00032DCF">
        <w:rPr>
          <w:rFonts w:ascii="Verdana" w:hAnsi="Verdana"/>
          <w:sz w:val="16"/>
          <w:szCs w:val="16"/>
        </w:rPr>
        <w:t>Schwarzer,R</w:t>
      </w:r>
      <w:proofErr w:type="spellEnd"/>
      <w:r w:rsidRPr="00032DCF">
        <w:rPr>
          <w:rFonts w:ascii="Verdana" w:hAnsi="Verdana"/>
          <w:sz w:val="16"/>
          <w:szCs w:val="16"/>
        </w:rPr>
        <w:t xml:space="preserve">., </w:t>
      </w:r>
      <w:proofErr w:type="spellStart"/>
      <w:r w:rsidRPr="00032DCF">
        <w:rPr>
          <w:rFonts w:ascii="Verdana" w:hAnsi="Verdana"/>
          <w:sz w:val="16"/>
          <w:szCs w:val="16"/>
        </w:rPr>
        <w:t>Jakubiec,D</w:t>
      </w:r>
      <w:proofErr w:type="spellEnd"/>
      <w:r w:rsidRPr="00032DCF">
        <w:rPr>
          <w:rFonts w:ascii="Verdana" w:hAnsi="Verdana"/>
          <w:sz w:val="16"/>
          <w:szCs w:val="16"/>
        </w:rPr>
        <w:t xml:space="preserve">., </w:t>
      </w:r>
      <w:proofErr w:type="spellStart"/>
      <w:r w:rsidRPr="00032DCF">
        <w:rPr>
          <w:rFonts w:ascii="Verdana" w:hAnsi="Verdana"/>
          <w:sz w:val="16"/>
          <w:szCs w:val="16"/>
        </w:rPr>
        <w:t>Fiksenbaum</w:t>
      </w:r>
      <w:proofErr w:type="spellEnd"/>
      <w:r w:rsidRPr="00032DCF">
        <w:rPr>
          <w:rFonts w:ascii="Verdana" w:hAnsi="Verdana"/>
          <w:sz w:val="16"/>
          <w:szCs w:val="16"/>
        </w:rPr>
        <w:t xml:space="preserve">, L. &amp; </w:t>
      </w:r>
      <w:proofErr w:type="spellStart"/>
      <w:r w:rsidRPr="00032DCF">
        <w:rPr>
          <w:rFonts w:ascii="Verdana" w:hAnsi="Verdana"/>
          <w:sz w:val="16"/>
          <w:szCs w:val="16"/>
        </w:rPr>
        <w:t>Taubert</w:t>
      </w:r>
      <w:proofErr w:type="spellEnd"/>
      <w:r w:rsidRPr="00032DCF">
        <w:rPr>
          <w:rFonts w:ascii="Verdana" w:hAnsi="Verdana"/>
          <w:sz w:val="16"/>
          <w:szCs w:val="16"/>
        </w:rPr>
        <w:t>, S. (1999).</w:t>
      </w:r>
      <w:r w:rsidRPr="00032DCF">
        <w:rPr>
          <w:rFonts w:ascii="Verdana" w:hAnsi="Verdana"/>
          <w:i/>
          <w:iCs/>
          <w:sz w:val="16"/>
          <w:szCs w:val="16"/>
        </w:rPr>
        <w:t xml:space="preserve"> The proactive coping inventory (PCI): A multidimensional research instrument</w:t>
      </w:r>
      <w:r w:rsidRPr="00032DCF">
        <w:rPr>
          <w:rFonts w:ascii="Verdana" w:hAnsi="Verdana"/>
          <w:sz w:val="16"/>
          <w:szCs w:val="16"/>
        </w:rPr>
        <w:t>.  Paper presented at the 20th International Conference of the Stress and Anxiety Research Society (STAR), Cracow, Poland.</w:t>
      </w:r>
    </w:p>
    <w:p w:rsidR="00032DCF" w:rsidRPr="00032DCF" w:rsidRDefault="00032DCF" w:rsidP="00006320">
      <w:pPr>
        <w:pStyle w:val="ListParagraph"/>
        <w:numPr>
          <w:ilvl w:val="0"/>
          <w:numId w:val="3"/>
        </w:numPr>
        <w:spacing w:before="0" w:line="240" w:lineRule="auto"/>
        <w:jc w:val="left"/>
        <w:rPr>
          <w:rFonts w:ascii="Verdana" w:hAnsi="Verdana"/>
          <w:sz w:val="16"/>
          <w:szCs w:val="16"/>
        </w:rPr>
      </w:pPr>
      <w:r w:rsidRPr="00032DCF">
        <w:rPr>
          <w:rFonts w:ascii="Verdana" w:hAnsi="Verdana"/>
          <w:sz w:val="16"/>
          <w:szCs w:val="16"/>
        </w:rPr>
        <w:t xml:space="preserve">Halter, M., </w:t>
      </w:r>
      <w:proofErr w:type="spellStart"/>
      <w:r w:rsidRPr="00032DCF">
        <w:rPr>
          <w:rFonts w:ascii="Verdana" w:hAnsi="Verdana"/>
          <w:sz w:val="16"/>
          <w:szCs w:val="16"/>
        </w:rPr>
        <w:t>Boiko</w:t>
      </w:r>
      <w:proofErr w:type="spellEnd"/>
      <w:r w:rsidRPr="00032DCF">
        <w:rPr>
          <w:rFonts w:ascii="Verdana" w:hAnsi="Verdana"/>
          <w:sz w:val="16"/>
          <w:szCs w:val="16"/>
        </w:rPr>
        <w:t xml:space="preserve">, O., </w:t>
      </w:r>
      <w:proofErr w:type="spellStart"/>
      <w:r w:rsidRPr="00032DCF">
        <w:rPr>
          <w:rFonts w:ascii="Verdana" w:hAnsi="Verdana"/>
          <w:sz w:val="16"/>
          <w:szCs w:val="16"/>
        </w:rPr>
        <w:t>Ferruccio</w:t>
      </w:r>
      <w:proofErr w:type="spellEnd"/>
      <w:r w:rsidRPr="00032DCF">
        <w:rPr>
          <w:rFonts w:ascii="Verdana" w:hAnsi="Verdana"/>
          <w:sz w:val="16"/>
          <w:szCs w:val="16"/>
        </w:rPr>
        <w:t xml:space="preserve">, P., </w:t>
      </w:r>
      <w:proofErr w:type="spellStart"/>
      <w:r w:rsidRPr="00032DCF">
        <w:rPr>
          <w:rFonts w:ascii="Verdana" w:hAnsi="Verdana"/>
          <w:sz w:val="16"/>
          <w:szCs w:val="16"/>
        </w:rPr>
        <w:t>Beighton</w:t>
      </w:r>
      <w:proofErr w:type="spellEnd"/>
      <w:r w:rsidRPr="00032DCF">
        <w:rPr>
          <w:rFonts w:ascii="Verdana" w:hAnsi="Verdana"/>
          <w:sz w:val="16"/>
          <w:szCs w:val="16"/>
        </w:rPr>
        <w:t xml:space="preserve">, C., Harris, R., Gale, J., </w:t>
      </w:r>
      <w:proofErr w:type="spellStart"/>
      <w:r w:rsidRPr="00032DCF">
        <w:rPr>
          <w:rFonts w:ascii="Verdana" w:hAnsi="Verdana"/>
          <w:sz w:val="16"/>
          <w:szCs w:val="16"/>
        </w:rPr>
        <w:t>Gourlay</w:t>
      </w:r>
      <w:proofErr w:type="spellEnd"/>
      <w:r w:rsidRPr="00032DCF">
        <w:rPr>
          <w:rFonts w:ascii="Verdana" w:hAnsi="Verdana"/>
          <w:sz w:val="16"/>
          <w:szCs w:val="16"/>
        </w:rPr>
        <w:t xml:space="preserve">, S., &amp; </w:t>
      </w:r>
      <w:proofErr w:type="spellStart"/>
      <w:r w:rsidRPr="00032DCF">
        <w:rPr>
          <w:rFonts w:ascii="Verdana" w:hAnsi="Verdana"/>
          <w:sz w:val="16"/>
          <w:szCs w:val="16"/>
        </w:rPr>
        <w:t>Drennan</w:t>
      </w:r>
      <w:proofErr w:type="spellEnd"/>
      <w:r w:rsidRPr="00032DCF">
        <w:rPr>
          <w:rFonts w:ascii="Verdana" w:hAnsi="Verdana"/>
          <w:sz w:val="16"/>
          <w:szCs w:val="16"/>
        </w:rPr>
        <w:t xml:space="preserve">, V.  (2017).  </w:t>
      </w:r>
      <w:r w:rsidRPr="00006320">
        <w:rPr>
          <w:rFonts w:ascii="Verdana" w:hAnsi="Verdana"/>
          <w:i/>
          <w:sz w:val="16"/>
          <w:szCs w:val="16"/>
        </w:rPr>
        <w:t>The determinants and consequences of adult nursing staff turnover: a systematic review of systematic reviews</w:t>
      </w:r>
      <w:r w:rsidRPr="00032DCF">
        <w:rPr>
          <w:rFonts w:ascii="Verdana" w:hAnsi="Verdana"/>
          <w:sz w:val="16"/>
          <w:szCs w:val="16"/>
        </w:rPr>
        <w:t xml:space="preserve">.  </w:t>
      </w:r>
      <w:r w:rsidRPr="00032DCF">
        <w:rPr>
          <w:rFonts w:ascii="Verdana" w:hAnsi="Verdana" w:cs="QppyjxAdvTT7329fd89.I"/>
          <w:sz w:val="16"/>
          <w:szCs w:val="16"/>
        </w:rPr>
        <w:t xml:space="preserve">BMC Health Services Research </w:t>
      </w:r>
      <w:r w:rsidRPr="00032DCF">
        <w:rPr>
          <w:rFonts w:ascii="Verdana" w:hAnsi="Verdana" w:cs="MyriadPro-Regular"/>
          <w:sz w:val="16"/>
          <w:szCs w:val="16"/>
        </w:rPr>
        <w:t xml:space="preserve">17:824 </w:t>
      </w:r>
      <w:r w:rsidRPr="00032DCF">
        <w:rPr>
          <w:rFonts w:ascii="Verdana" w:hAnsi="Verdana"/>
          <w:sz w:val="16"/>
          <w:szCs w:val="16"/>
        </w:rPr>
        <w:t>DOI 10.1186/s12913-017-2707-0.</w:t>
      </w:r>
    </w:p>
    <w:p w:rsidR="00032DCF" w:rsidRPr="00032DCF" w:rsidRDefault="00032DCF" w:rsidP="00006320">
      <w:pPr>
        <w:pStyle w:val="ListParagraph"/>
        <w:numPr>
          <w:ilvl w:val="0"/>
          <w:numId w:val="3"/>
        </w:numPr>
        <w:spacing w:before="0" w:line="240" w:lineRule="auto"/>
        <w:jc w:val="left"/>
        <w:rPr>
          <w:rFonts w:ascii="Verdana" w:hAnsi="Verdana"/>
          <w:sz w:val="16"/>
          <w:szCs w:val="16"/>
        </w:rPr>
      </w:pPr>
      <w:proofErr w:type="spellStart"/>
      <w:r w:rsidRPr="00032DCF">
        <w:rPr>
          <w:rFonts w:ascii="Verdana" w:hAnsi="Verdana"/>
          <w:sz w:val="16"/>
          <w:szCs w:val="16"/>
        </w:rPr>
        <w:t>Hilty</w:t>
      </w:r>
      <w:proofErr w:type="spellEnd"/>
      <w:r w:rsidRPr="00032DCF">
        <w:rPr>
          <w:rFonts w:ascii="Verdana" w:hAnsi="Verdana"/>
          <w:sz w:val="16"/>
          <w:szCs w:val="16"/>
        </w:rPr>
        <w:t xml:space="preserve">, D.  (2017, October).  </w:t>
      </w:r>
      <w:r w:rsidRPr="00032DCF">
        <w:rPr>
          <w:rFonts w:ascii="Verdana" w:hAnsi="Verdana"/>
          <w:i/>
          <w:iCs/>
          <w:sz w:val="16"/>
          <w:szCs w:val="16"/>
        </w:rPr>
        <w:t xml:space="preserve">Preliminary investigation (phase 1) evaluating relationship among Big Five personality factors, team spirit, and </w:t>
      </w:r>
      <w:proofErr w:type="spellStart"/>
      <w:r w:rsidRPr="00032DCF">
        <w:rPr>
          <w:rFonts w:ascii="Verdana" w:hAnsi="Verdana"/>
          <w:i/>
          <w:iCs/>
          <w:sz w:val="16"/>
          <w:szCs w:val="16"/>
        </w:rPr>
        <w:t>Wooden’s</w:t>
      </w:r>
      <w:proofErr w:type="spellEnd"/>
      <w:r w:rsidRPr="00032DCF">
        <w:rPr>
          <w:rFonts w:ascii="Verdana" w:hAnsi="Verdana"/>
          <w:i/>
          <w:iCs/>
          <w:sz w:val="16"/>
          <w:szCs w:val="16"/>
        </w:rPr>
        <w:t xml:space="preserve"> competitive greatness construct</w:t>
      </w:r>
      <w:r w:rsidRPr="00032DCF">
        <w:rPr>
          <w:rFonts w:ascii="Verdana" w:hAnsi="Verdana"/>
          <w:sz w:val="16"/>
          <w:szCs w:val="16"/>
        </w:rPr>
        <w:t>.  Poster presentation at Lilly Conference at Traverse City, Michigan.</w:t>
      </w:r>
    </w:p>
    <w:p w:rsidR="00032DCF" w:rsidRPr="00032DCF" w:rsidRDefault="00032DCF" w:rsidP="00006320">
      <w:pPr>
        <w:pStyle w:val="ListParagraph"/>
        <w:numPr>
          <w:ilvl w:val="0"/>
          <w:numId w:val="3"/>
        </w:numPr>
        <w:autoSpaceDE w:val="0"/>
        <w:autoSpaceDN w:val="0"/>
        <w:adjustRightInd w:val="0"/>
        <w:spacing w:before="0" w:line="240" w:lineRule="auto"/>
        <w:jc w:val="left"/>
        <w:rPr>
          <w:rFonts w:ascii="Verdana" w:hAnsi="Verdana" w:cs="StvrmcAdvTTb5929f4c"/>
          <w:color w:val="131413"/>
          <w:sz w:val="16"/>
          <w:szCs w:val="16"/>
        </w:rPr>
      </w:pPr>
      <w:r w:rsidRPr="00032DCF">
        <w:rPr>
          <w:rFonts w:ascii="Verdana" w:hAnsi="Verdana" w:cs="StvrmcAdvTTb5929f4c"/>
          <w:color w:val="131413"/>
          <w:sz w:val="16"/>
          <w:szCs w:val="16"/>
        </w:rPr>
        <w:t xml:space="preserve">Li, Y. &amp; Jones, C.  (2013).  </w:t>
      </w:r>
      <w:r w:rsidRPr="00006320">
        <w:rPr>
          <w:rFonts w:ascii="Verdana" w:hAnsi="Verdana" w:cs="StvrmcAdvTTb5929f4c"/>
          <w:i/>
          <w:color w:val="131413"/>
          <w:sz w:val="16"/>
          <w:szCs w:val="16"/>
        </w:rPr>
        <w:t>A literature review of nursing turnover costs</w:t>
      </w:r>
      <w:r w:rsidRPr="00032DCF">
        <w:rPr>
          <w:rFonts w:ascii="Verdana" w:hAnsi="Verdana" w:cs="StvrmcAdvTTb5929f4c"/>
          <w:color w:val="131413"/>
          <w:sz w:val="16"/>
          <w:szCs w:val="16"/>
        </w:rPr>
        <w:t xml:space="preserve">. </w:t>
      </w:r>
      <w:r w:rsidRPr="00032DCF">
        <w:rPr>
          <w:rFonts w:ascii="Verdana" w:hAnsi="Verdana" w:cs="AdvPS_HV"/>
          <w:sz w:val="16"/>
          <w:szCs w:val="16"/>
        </w:rPr>
        <w:t xml:space="preserve">Journal of Nursing Management, </w:t>
      </w:r>
      <w:r w:rsidRPr="00032DCF">
        <w:rPr>
          <w:rFonts w:ascii="Verdana" w:hAnsi="Verdana" w:cs="AdvPS_HVB"/>
          <w:sz w:val="16"/>
          <w:szCs w:val="16"/>
        </w:rPr>
        <w:t xml:space="preserve">21, </w:t>
      </w:r>
      <w:r w:rsidRPr="00032DCF">
        <w:rPr>
          <w:rFonts w:ascii="Verdana" w:hAnsi="Verdana" w:cs="AdvPS_HV"/>
          <w:sz w:val="16"/>
          <w:szCs w:val="16"/>
        </w:rPr>
        <w:t>405–418.</w:t>
      </w:r>
    </w:p>
    <w:p w:rsidR="00032DCF" w:rsidRDefault="00032DCF">
      <w:pPr>
        <w:spacing w:line="200" w:lineRule="exact"/>
        <w:jc w:val="both"/>
        <w:rPr>
          <w:rFonts w:ascii="Calibri" w:hAnsi="Calibri"/>
        </w:rPr>
        <w:sectPr w:rsidR="00032DCF">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9A3A70">
      <w:pPr>
        <w:pStyle w:val="BodyText"/>
        <w:spacing w:line="40" w:lineRule="exact"/>
        <w:ind w:left="2202"/>
        <w:rPr>
          <w:rFonts w:ascii="Calibri"/>
          <w:sz w:val="4"/>
        </w:rPr>
      </w:pPr>
      <w:r w:rsidRPr="009A3A70">
        <w:rPr>
          <w:rFonts w:ascii="Calibri"/>
          <w:noProof/>
          <w:sz w:val="4"/>
          <w:lang w:val="en-IN" w:eastAsia="en-IN"/>
        </w:rPr>
      </w:r>
      <w:r w:rsidRPr="009A3A70">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wrap type="none"/>
            <w10:anchorlock/>
          </v:group>
        </w:pict>
      </w:r>
    </w:p>
    <w:p w:rsidR="00AE3E37" w:rsidRDefault="00006320" w:rsidP="00404E5B">
      <w:pPr>
        <w:spacing w:before="92"/>
        <w:ind w:right="4234"/>
        <w:rPr>
          <w:rFonts w:ascii="Arial"/>
        </w:rPr>
      </w:pPr>
      <w:r>
        <w:rPr>
          <w:noProof/>
        </w:rPr>
        <w:drawing>
          <wp:inline distT="0" distB="0" distL="0" distR="0">
            <wp:extent cx="732220" cy="914400"/>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33629" cy="916160"/>
                    </a:xfrm>
                    <a:prstGeom prst="rect">
                      <a:avLst/>
                    </a:prstGeom>
                    <a:noFill/>
                    <a:ln w="9525">
                      <a:noFill/>
                      <a:miter lim="800000"/>
                      <a:headEnd/>
                      <a:tailEnd/>
                    </a:ln>
                  </pic:spPr>
                </pic:pic>
              </a:graphicData>
            </a:graphic>
          </wp:inline>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006320" w:rsidRPr="00006320" w:rsidRDefault="00006320" w:rsidP="00006320">
      <w:pPr>
        <w:rPr>
          <w:rFonts w:ascii="Verdana" w:hAnsi="Verdana"/>
          <w:sz w:val="16"/>
          <w:szCs w:val="16"/>
        </w:rPr>
      </w:pPr>
      <w:r w:rsidRPr="00006320">
        <w:rPr>
          <w:rFonts w:ascii="Verdana" w:hAnsi="Verdana"/>
          <w:sz w:val="16"/>
          <w:szCs w:val="16"/>
        </w:rPr>
        <w:t xml:space="preserve">Dale M. </w:t>
      </w:r>
      <w:proofErr w:type="spellStart"/>
      <w:r w:rsidRPr="00006320">
        <w:rPr>
          <w:rFonts w:ascii="Verdana" w:hAnsi="Verdana"/>
          <w:sz w:val="16"/>
          <w:szCs w:val="16"/>
        </w:rPr>
        <w:t>Hilty</w:t>
      </w:r>
      <w:proofErr w:type="spellEnd"/>
      <w:r w:rsidRPr="00006320">
        <w:rPr>
          <w:rFonts w:ascii="Verdana" w:hAnsi="Verdana"/>
          <w:sz w:val="16"/>
          <w:szCs w:val="16"/>
        </w:rPr>
        <w:t xml:space="preserve">, Associate Professor, received his PhD in counseling psychology from Department of Psychology at the Ohio State University.  He has published studies in the areas of psychology, sociology, and religion.  Between April 2017 and April 2018, his ten research teams published 55 posters at local, state, regional, national, and international nursing conferences.  </w:t>
      </w:r>
    </w:p>
    <w:p w:rsidR="00AE3E37" w:rsidRDefault="00A9710C">
      <w:pPr>
        <w:spacing w:before="62"/>
        <w:ind w:left="4217" w:right="4235"/>
        <w:jc w:val="center"/>
        <w:rPr>
          <w:rFonts w:ascii="Arial"/>
          <w:sz w:val="14"/>
        </w:rPr>
      </w:pPr>
      <w:r>
        <w:rPr>
          <w:rFonts w:ascii="Arial"/>
          <w:sz w:val="14"/>
        </w:rPr>
        <w:t xml:space="preserve">Email: </w:t>
      </w:r>
      <w:hyperlink r:id="rId10">
        <w:r w:rsidR="00006320">
          <w:rPr>
            <w:rFonts w:ascii="Arial"/>
            <w:color w:val="004080"/>
            <w:sz w:val="14"/>
          </w:rPr>
          <w:t>dhilty@mccn.edu</w:t>
        </w:r>
      </w:hyperlink>
    </w:p>
    <w:p w:rsidR="00AE3E37" w:rsidRDefault="009A3A70">
      <w:pPr>
        <w:pStyle w:val="BodyText"/>
        <w:spacing w:before="2"/>
        <w:rPr>
          <w:rFonts w:ascii="Arial"/>
          <w:sz w:val="19"/>
        </w:rPr>
      </w:pPr>
      <w:r w:rsidRPr="009A3A70">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5F7233" w:rsidRDefault="00A9710C" w:rsidP="005F7233">
      <w:pPr>
        <w:spacing w:before="39"/>
        <w:ind w:left="100"/>
        <w:rPr>
          <w:rFonts w:ascii="Verdana" w:hAnsi="Verdana"/>
          <w:sz w:val="20"/>
          <w:szCs w:val="20"/>
        </w:rPr>
        <w:sectPr w:rsidR="00AE3E37" w:rsidRPr="005F7233">
          <w:type w:val="continuous"/>
          <w:pgSz w:w="11910" w:h="16840"/>
          <w:pgMar w:top="1740" w:right="600" w:bottom="840" w:left="620" w:header="720" w:footer="720" w:gutter="0"/>
          <w:cols w:space="720"/>
        </w:sectPr>
      </w:pPr>
      <w:r w:rsidRPr="005F7233">
        <w:rPr>
          <w:rFonts w:ascii="Verdana" w:hAnsi="Verdana"/>
          <w:b/>
          <w:sz w:val="20"/>
          <w:szCs w:val="20"/>
        </w:rPr>
        <w:t>Notes/Comments:</w:t>
      </w:r>
      <w:r w:rsidR="005F7233" w:rsidRPr="005F7233">
        <w:rPr>
          <w:rFonts w:ascii="Verdana" w:hAnsi="Verdana"/>
          <w:b/>
          <w:sz w:val="20"/>
          <w:szCs w:val="20"/>
        </w:rPr>
        <w:t xml:space="preserve">  </w:t>
      </w:r>
      <w:r w:rsidR="005F7233" w:rsidRPr="005F7233">
        <w:rPr>
          <w:rFonts w:ascii="Verdana" w:hAnsi="Verdana"/>
          <w:sz w:val="20"/>
          <w:szCs w:val="20"/>
        </w:rPr>
        <w:t>https://nursingcare.nursingconference.com/</w:t>
      </w:r>
    </w:p>
    <w:p w:rsidR="00A6783F" w:rsidRDefault="00A9710C" w:rsidP="00A6783F">
      <w:pPr>
        <w:spacing w:line="204" w:lineRule="exact"/>
        <w:rPr>
          <w:rFonts w:ascii="Calibri" w:hAnsi="Calibri"/>
        </w:rPr>
      </w:pPr>
      <w:r>
        <w:lastRenderedPageBreak/>
        <w:br w:type="column"/>
      </w:r>
    </w:p>
    <w:p w:rsidR="00AE3E37" w:rsidRDefault="00AE3E37">
      <w:pPr>
        <w:pStyle w:val="BodyText"/>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136" w:rsidRDefault="00955136">
      <w:r>
        <w:separator/>
      </w:r>
    </w:p>
  </w:endnote>
  <w:endnote w:type="continuationSeparator" w:id="0">
    <w:p w:rsidR="00955136" w:rsidRDefault="0095513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FhgsfjAdvTT86d47313">
    <w:panose1 w:val="00000000000000000000"/>
    <w:charset w:val="00"/>
    <w:family w:val="roman"/>
    <w:notTrueType/>
    <w:pitch w:val="default"/>
    <w:sig w:usb0="00000003" w:usb1="00000000" w:usb2="00000000" w:usb3="00000000" w:csb0="00000001" w:csb1="00000000"/>
  </w:font>
  <w:font w:name="StvrmcAdvTTb5929f4c">
    <w:panose1 w:val="00000000000000000000"/>
    <w:charset w:val="00"/>
    <w:family w:val="swiss"/>
    <w:notTrueType/>
    <w:pitch w:val="default"/>
    <w:sig w:usb0="00000003" w:usb1="00000000" w:usb2="00000000" w:usb3="00000000" w:csb0="00000001" w:csb1="00000000"/>
  </w:font>
  <w:font w:name="AdvPSSAB-I">
    <w:panose1 w:val="00000000000000000000"/>
    <w:charset w:val="00"/>
    <w:family w:val="roman"/>
    <w:notTrueType/>
    <w:pitch w:val="default"/>
    <w:sig w:usb0="00000003" w:usb1="00000000" w:usb2="00000000" w:usb3="00000000" w:csb0="00000001" w:csb1="00000000"/>
  </w:font>
  <w:font w:name="AdvPSSab-B">
    <w:panose1 w:val="00000000000000000000"/>
    <w:charset w:val="00"/>
    <w:family w:val="roman"/>
    <w:notTrueType/>
    <w:pitch w:val="default"/>
    <w:sig w:usb0="00000003" w:usb1="00000000" w:usb2="00000000" w:usb3="00000000" w:csb0="00000001" w:csb1="00000000"/>
  </w:font>
  <w:font w:name="AdvPSSAB-R">
    <w:panose1 w:val="00000000000000000000"/>
    <w:charset w:val="00"/>
    <w:family w:val="roman"/>
    <w:notTrueType/>
    <w:pitch w:val="default"/>
    <w:sig w:usb0="00000003" w:usb1="00000000" w:usb2="00000000" w:usb3="00000000" w:csb0="00000001" w:csb1="00000000"/>
  </w:font>
  <w:font w:name="AdvTT3713a231+20">
    <w:panose1 w:val="00000000000000000000"/>
    <w:charset w:val="00"/>
    <w:family w:val="swiss"/>
    <w:notTrueType/>
    <w:pitch w:val="default"/>
    <w:sig w:usb0="00000003" w:usb1="00000000" w:usb2="00000000" w:usb3="00000000" w:csb0="00000001" w:csb1="00000000"/>
  </w:font>
  <w:font w:name="QppyjxAdvTT7329fd89.I">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AdvPS_HV">
    <w:panose1 w:val="00000000000000000000"/>
    <w:charset w:val="00"/>
    <w:family w:val="auto"/>
    <w:notTrueType/>
    <w:pitch w:val="default"/>
    <w:sig w:usb0="00000003" w:usb1="00000000" w:usb2="00000000" w:usb3="00000000" w:csb0="00000001" w:csb1="00000000"/>
  </w:font>
  <w:font w:name="AdvPS_HVB">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A3A70">
    <w:pPr>
      <w:pStyle w:val="BodyText"/>
      <w:spacing w:line="14" w:lineRule="auto"/>
      <w:rPr>
        <w:sz w:val="20"/>
      </w:rPr>
    </w:pPr>
    <w:r w:rsidRPr="009A3A7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9A3A7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A3A7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136" w:rsidRDefault="00955136">
      <w:r>
        <w:separator/>
      </w:r>
    </w:p>
  </w:footnote>
  <w:footnote w:type="continuationSeparator" w:id="0">
    <w:p w:rsidR="00955136" w:rsidRDefault="009551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8B182F" w:rsidRDefault="009A3A70">
    <w:pPr>
      <w:pStyle w:val="BodyText"/>
      <w:spacing w:line="14" w:lineRule="auto"/>
      <w:rPr>
        <w:color w:val="000000" w:themeColor="text1"/>
        <w:sz w:val="20"/>
      </w:rPr>
    </w:pPr>
    <w:r w:rsidRPr="009A3A70">
      <w:rPr>
        <w:noProof/>
        <w:color w:val="000000" w:themeColor="text1"/>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9A3A70">
      <w:rPr>
        <w:noProof/>
        <w:color w:val="000000" w:themeColor="text1"/>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85978C6"/>
    <w:multiLevelType w:val="hybridMultilevel"/>
    <w:tmpl w:val="13921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06320"/>
    <w:rsid w:val="00032DCF"/>
    <w:rsid w:val="000E2911"/>
    <w:rsid w:val="001263DF"/>
    <w:rsid w:val="002D0FBA"/>
    <w:rsid w:val="00404E5B"/>
    <w:rsid w:val="00414F7B"/>
    <w:rsid w:val="004355DC"/>
    <w:rsid w:val="004749B4"/>
    <w:rsid w:val="00482A5D"/>
    <w:rsid w:val="004F3523"/>
    <w:rsid w:val="005B3A56"/>
    <w:rsid w:val="005F7233"/>
    <w:rsid w:val="006060CE"/>
    <w:rsid w:val="0063497F"/>
    <w:rsid w:val="008634CD"/>
    <w:rsid w:val="00873DF0"/>
    <w:rsid w:val="008B182F"/>
    <w:rsid w:val="00923F47"/>
    <w:rsid w:val="00955136"/>
    <w:rsid w:val="009A3A70"/>
    <w:rsid w:val="009B2D44"/>
    <w:rsid w:val="009D72AB"/>
    <w:rsid w:val="00A6783F"/>
    <w:rsid w:val="00A9710C"/>
    <w:rsid w:val="00AE3E37"/>
    <w:rsid w:val="00B21A57"/>
    <w:rsid w:val="00B91964"/>
    <w:rsid w:val="00BD025F"/>
    <w:rsid w:val="00C33602"/>
    <w:rsid w:val="00CD6F55"/>
    <w:rsid w:val="00D854B7"/>
    <w:rsid w:val="00EF6930"/>
    <w:rsid w:val="00F72EEA"/>
    <w:rsid w:val="00F84CAE"/>
    <w:rsid w:val="00FA73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deanna.rpm@hot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Precious IV</cp:lastModifiedBy>
  <cp:revision>3</cp:revision>
  <dcterms:created xsi:type="dcterms:W3CDTF">2018-06-14T03:56:00Z</dcterms:created>
  <dcterms:modified xsi:type="dcterms:W3CDTF">2018-06-14T04:00:00Z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