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EC4" w:rsidRPr="00D90EC4" w:rsidRDefault="00D90EC4" w:rsidP="00D90EC4">
      <w:pPr>
        <w:widowControl/>
        <w:adjustRightInd w:val="0"/>
        <w:snapToGrid w:val="0"/>
        <w:spacing w:after="240" w:line="400" w:lineRule="exact"/>
        <w:jc w:val="both"/>
        <w:rPr>
          <w:rFonts w:ascii="Palatino Linotype" w:eastAsia="Times New Roman" w:hAnsi="Palatino Linotype" w:cs="Times New Roman"/>
          <w:snapToGrid w:val="0"/>
          <w:color w:val="000000"/>
          <w:sz w:val="28"/>
          <w:szCs w:val="28"/>
          <w:lang w:eastAsia="de-DE" w:bidi="en-US"/>
        </w:rPr>
      </w:pPr>
      <w:r w:rsidRPr="00D90EC4">
        <w:rPr>
          <w:rFonts w:ascii="Palatino Linotype" w:eastAsia="Times New Roman" w:hAnsi="Palatino Linotype" w:cs="Times New Roman"/>
          <w:snapToGrid w:val="0"/>
          <w:color w:val="000000"/>
          <w:sz w:val="28"/>
          <w:szCs w:val="28"/>
          <w:lang w:eastAsia="de-DE" w:bidi="en-US"/>
        </w:rPr>
        <w:t>Polymorphism and Structural Distortions of Mixed-Metal Oxide Photocatalysts Constructed with α-U</w:t>
      </w:r>
      <w:r w:rsidRPr="00D90EC4">
        <w:rPr>
          <w:rFonts w:ascii="Palatino Linotype" w:eastAsia="Times New Roman" w:hAnsi="Palatino Linotype" w:cs="Times New Roman"/>
          <w:snapToGrid w:val="0"/>
          <w:color w:val="000000"/>
          <w:sz w:val="28"/>
          <w:szCs w:val="28"/>
          <w:vertAlign w:val="subscript"/>
          <w:lang w:eastAsia="de-DE" w:bidi="en-US"/>
        </w:rPr>
        <w:t>3</w:t>
      </w:r>
      <w:r w:rsidRPr="00D90EC4">
        <w:rPr>
          <w:rFonts w:ascii="Palatino Linotype" w:eastAsia="Times New Roman" w:hAnsi="Palatino Linotype" w:cs="Times New Roman"/>
          <w:snapToGrid w:val="0"/>
          <w:color w:val="000000"/>
          <w:sz w:val="28"/>
          <w:szCs w:val="28"/>
          <w:lang w:eastAsia="de-DE" w:bidi="en-US"/>
        </w:rPr>
        <w:t>O</w:t>
      </w:r>
      <w:r w:rsidRPr="00D90EC4">
        <w:rPr>
          <w:rFonts w:ascii="Palatino Linotype" w:eastAsia="Times New Roman" w:hAnsi="Palatino Linotype" w:cs="Times New Roman"/>
          <w:snapToGrid w:val="0"/>
          <w:color w:val="000000"/>
          <w:sz w:val="28"/>
          <w:szCs w:val="28"/>
          <w:vertAlign w:val="subscript"/>
          <w:lang w:eastAsia="de-DE" w:bidi="en-US"/>
        </w:rPr>
        <w:t>8</w:t>
      </w:r>
      <w:r w:rsidRPr="00D90EC4">
        <w:rPr>
          <w:rFonts w:ascii="Palatino Linotype" w:eastAsia="Times New Roman" w:hAnsi="Palatino Linotype" w:cs="Times New Roman"/>
          <w:snapToGrid w:val="0"/>
          <w:color w:val="000000"/>
          <w:sz w:val="28"/>
          <w:szCs w:val="28"/>
          <w:lang w:eastAsia="de-DE" w:bidi="en-US"/>
        </w:rPr>
        <w:t xml:space="preserve"> Types of Layers</w:t>
      </w:r>
    </w:p>
    <w:p w:rsidR="005973B9" w:rsidRDefault="00D90EC4" w:rsidP="005973B9">
      <w:pPr>
        <w:pStyle w:val="BodyText"/>
        <w:spacing w:before="73" w:line="198" w:lineRule="exact"/>
        <w:ind w:left="100" w:right="5987"/>
        <w:rPr>
          <w:rFonts w:ascii="Arial"/>
        </w:rPr>
      </w:pPr>
      <w:r>
        <w:rPr>
          <w:rFonts w:ascii="Arial"/>
        </w:rPr>
        <w:t>Nacole King, Ph.D. NIST, USA</w:t>
      </w:r>
    </w:p>
    <w:p w:rsidR="00D90EC4" w:rsidRDefault="00D90EC4" w:rsidP="005973B9">
      <w:pPr>
        <w:pStyle w:val="BodyText"/>
        <w:spacing w:before="73" w:line="198" w:lineRule="exact"/>
        <w:ind w:left="100" w:right="5987"/>
        <w:rPr>
          <w:rFonts w:ascii="Arial"/>
        </w:rPr>
      </w:pPr>
      <w:r>
        <w:rPr>
          <w:rFonts w:ascii="Arial"/>
        </w:rPr>
        <w:t xml:space="preserve">Jonathan </w:t>
      </w:r>
      <w:proofErr w:type="spellStart"/>
      <w:r>
        <w:rPr>
          <w:rFonts w:ascii="Arial"/>
        </w:rPr>
        <w:t>Boltersdorf</w:t>
      </w:r>
      <w:proofErr w:type="spellEnd"/>
      <w:r>
        <w:rPr>
          <w:rFonts w:ascii="Arial"/>
        </w:rPr>
        <w:t>, Ph.D., Army Research Lab, USA</w:t>
      </w:r>
    </w:p>
    <w:p w:rsidR="00D90EC4" w:rsidRDefault="00D90EC4" w:rsidP="005973B9">
      <w:pPr>
        <w:pStyle w:val="BodyText"/>
        <w:spacing w:before="73" w:line="198" w:lineRule="exact"/>
        <w:ind w:left="100" w:right="5987"/>
        <w:rPr>
          <w:rFonts w:ascii="Arial"/>
        </w:rPr>
      </w:pPr>
      <w:r>
        <w:rPr>
          <w:rFonts w:ascii="Arial"/>
        </w:rPr>
        <w:t xml:space="preserve">Paul A. </w:t>
      </w:r>
      <w:proofErr w:type="spellStart"/>
      <w:r>
        <w:rPr>
          <w:rFonts w:ascii="Arial"/>
        </w:rPr>
        <w:t>Maggard</w:t>
      </w:r>
      <w:proofErr w:type="spellEnd"/>
      <w:r>
        <w:rPr>
          <w:rFonts w:ascii="Arial"/>
        </w:rPr>
        <w:t>, Ph.D., North Carolina State University, USA</w:t>
      </w:r>
    </w:p>
    <w:p w:rsidR="00D90EC4" w:rsidRDefault="00D90EC4" w:rsidP="005973B9">
      <w:pPr>
        <w:pStyle w:val="BodyText"/>
        <w:spacing w:before="73" w:line="198" w:lineRule="exact"/>
        <w:ind w:left="100" w:right="5987"/>
        <w:rPr>
          <w:rFonts w:ascii="Arial"/>
        </w:rPr>
      </w:pPr>
      <w:r>
        <w:rPr>
          <w:rFonts w:ascii="Arial"/>
        </w:rPr>
        <w:t>Winnie Wong-Ng, NIST,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D90EC4" w:rsidRPr="00D90EC4" w:rsidRDefault="00D90EC4" w:rsidP="00D90EC4">
      <w:pPr>
        <w:pStyle w:val="Heading3"/>
        <w:spacing w:before="74"/>
        <w:jc w:val="both"/>
        <w:rPr>
          <w:b w:val="0"/>
          <w:sz w:val="18"/>
          <w:szCs w:val="18"/>
          <w:lang w:bidi="en-US"/>
        </w:rPr>
      </w:pPr>
      <w:r w:rsidRPr="00D90EC4">
        <w:rPr>
          <w:b w:val="0"/>
          <w:sz w:val="18"/>
          <w:szCs w:val="18"/>
        </w:rPr>
        <w:t>A series of mixed-metal oxide structures based on the stacking of α-U</w:t>
      </w:r>
      <w:r w:rsidRPr="00D90EC4">
        <w:rPr>
          <w:b w:val="0"/>
          <w:sz w:val="18"/>
          <w:szCs w:val="18"/>
          <w:vertAlign w:val="subscript"/>
        </w:rPr>
        <w:t>3</w:t>
      </w:r>
      <w:r w:rsidRPr="00D90EC4">
        <w:rPr>
          <w:b w:val="0"/>
          <w:sz w:val="18"/>
          <w:szCs w:val="18"/>
        </w:rPr>
        <w:t>O</w:t>
      </w:r>
      <w:r w:rsidRPr="00D90EC4">
        <w:rPr>
          <w:b w:val="0"/>
          <w:sz w:val="18"/>
          <w:szCs w:val="18"/>
          <w:vertAlign w:val="subscript"/>
        </w:rPr>
        <w:t xml:space="preserve"> </w:t>
      </w:r>
      <w:r w:rsidRPr="00D90EC4">
        <w:rPr>
          <w:b w:val="0"/>
          <w:sz w:val="18"/>
          <w:szCs w:val="18"/>
        </w:rPr>
        <w:t>has been reviewed for structural distortion and photocatalytic activity.  The family of structures contains the general composition A</w:t>
      </w:r>
      <w:r w:rsidRPr="00D90EC4">
        <w:rPr>
          <w:b w:val="0"/>
          <w:i/>
          <w:sz w:val="18"/>
          <w:szCs w:val="18"/>
          <w:vertAlign w:val="superscript"/>
        </w:rPr>
        <w:t>m</w:t>
      </w:r>
      <w:r w:rsidRPr="00D90EC4">
        <w:rPr>
          <w:b w:val="0"/>
          <w:sz w:val="18"/>
          <w:szCs w:val="18"/>
          <w:vertAlign w:val="superscript"/>
        </w:rPr>
        <w:t>+</w:t>
      </w:r>
      <w:r w:rsidRPr="00D90EC4">
        <w:rPr>
          <w:b w:val="0"/>
          <w:sz w:val="18"/>
          <w:szCs w:val="18"/>
          <w:vertAlign w:val="subscript"/>
        </w:rPr>
        <w:t>((</w:t>
      </w:r>
      <w:r w:rsidRPr="00D90EC4">
        <w:rPr>
          <w:b w:val="0"/>
          <w:i/>
          <w:sz w:val="18"/>
          <w:szCs w:val="18"/>
          <w:vertAlign w:val="subscript"/>
        </w:rPr>
        <w:t>n</w:t>
      </w:r>
      <w:r w:rsidRPr="00D90EC4">
        <w:rPr>
          <w:b w:val="0"/>
          <w:sz w:val="18"/>
          <w:szCs w:val="18"/>
          <w:vertAlign w:val="subscript"/>
        </w:rPr>
        <w:t>+1)/</w:t>
      </w:r>
      <w:proofErr w:type="gramStart"/>
      <w:r w:rsidRPr="00D90EC4">
        <w:rPr>
          <w:b w:val="0"/>
          <w:sz w:val="18"/>
          <w:szCs w:val="18"/>
          <w:vertAlign w:val="subscript"/>
        </w:rPr>
        <w:t>m)</w:t>
      </w:r>
      <w:r w:rsidRPr="00D90EC4">
        <w:rPr>
          <w:b w:val="0"/>
          <w:sz w:val="18"/>
          <w:szCs w:val="18"/>
        </w:rPr>
        <w:t>B</w:t>
      </w:r>
      <w:proofErr w:type="gramEnd"/>
      <w:r w:rsidRPr="00D90EC4">
        <w:rPr>
          <w:b w:val="0"/>
          <w:sz w:val="18"/>
          <w:szCs w:val="18"/>
          <w:vertAlign w:val="subscript"/>
        </w:rPr>
        <w:t>(3</w:t>
      </w:r>
      <w:r w:rsidRPr="00D90EC4">
        <w:rPr>
          <w:b w:val="0"/>
          <w:i/>
          <w:sz w:val="18"/>
          <w:szCs w:val="18"/>
          <w:vertAlign w:val="subscript"/>
        </w:rPr>
        <w:t>n</w:t>
      </w:r>
      <w:r w:rsidRPr="00D90EC4">
        <w:rPr>
          <w:b w:val="0"/>
          <w:sz w:val="18"/>
          <w:szCs w:val="18"/>
          <w:vertAlign w:val="subscript"/>
        </w:rPr>
        <w:t>+1)</w:t>
      </w:r>
      <w:r w:rsidRPr="00D90EC4">
        <w:rPr>
          <w:b w:val="0"/>
          <w:sz w:val="18"/>
          <w:szCs w:val="18"/>
        </w:rPr>
        <w:t>O</w:t>
      </w:r>
      <w:r w:rsidRPr="00D90EC4">
        <w:rPr>
          <w:b w:val="0"/>
          <w:sz w:val="18"/>
          <w:szCs w:val="18"/>
          <w:vertAlign w:val="subscript"/>
        </w:rPr>
        <w:t>(8</w:t>
      </w:r>
      <w:r w:rsidRPr="00D90EC4">
        <w:rPr>
          <w:b w:val="0"/>
          <w:i/>
          <w:sz w:val="18"/>
          <w:szCs w:val="18"/>
          <w:vertAlign w:val="subscript"/>
        </w:rPr>
        <w:t>n</w:t>
      </w:r>
      <w:r w:rsidRPr="00D90EC4">
        <w:rPr>
          <w:b w:val="0"/>
          <w:sz w:val="18"/>
          <w:szCs w:val="18"/>
          <w:vertAlign w:val="subscript"/>
        </w:rPr>
        <w:t>+3)</w:t>
      </w:r>
      <w:r w:rsidRPr="00D90EC4">
        <w:rPr>
          <w:b w:val="0"/>
          <w:sz w:val="18"/>
          <w:szCs w:val="18"/>
        </w:rPr>
        <w:t xml:space="preserve"> (e.g., A = Ag, Bi, Ca, Cu, Ce, </w:t>
      </w:r>
      <w:proofErr w:type="spellStart"/>
      <w:r w:rsidRPr="00D90EC4">
        <w:rPr>
          <w:b w:val="0"/>
          <w:sz w:val="18"/>
          <w:szCs w:val="18"/>
        </w:rPr>
        <w:t>Dy</w:t>
      </w:r>
      <w:proofErr w:type="spellEnd"/>
      <w:r w:rsidRPr="00D90EC4">
        <w:rPr>
          <w:b w:val="0"/>
          <w:sz w:val="18"/>
          <w:szCs w:val="18"/>
        </w:rPr>
        <w:t xml:space="preserve">, Eu, </w:t>
      </w:r>
      <w:proofErr w:type="spellStart"/>
      <w:r w:rsidRPr="00D90EC4">
        <w:rPr>
          <w:b w:val="0"/>
          <w:sz w:val="18"/>
          <w:szCs w:val="18"/>
        </w:rPr>
        <w:t>Gd</w:t>
      </w:r>
      <w:proofErr w:type="spellEnd"/>
      <w:r w:rsidRPr="00D90EC4">
        <w:rPr>
          <w:b w:val="0"/>
          <w:sz w:val="18"/>
          <w:szCs w:val="18"/>
        </w:rPr>
        <w:t xml:space="preserve">, K, La, </w:t>
      </w:r>
      <w:proofErr w:type="spellStart"/>
      <w:r w:rsidRPr="00D90EC4">
        <w:rPr>
          <w:b w:val="0"/>
          <w:sz w:val="18"/>
          <w:szCs w:val="18"/>
        </w:rPr>
        <w:t>Nd</w:t>
      </w:r>
      <w:proofErr w:type="spellEnd"/>
      <w:r w:rsidRPr="00D90EC4">
        <w:rPr>
          <w:b w:val="0"/>
          <w:sz w:val="18"/>
          <w:szCs w:val="18"/>
        </w:rPr>
        <w:t xml:space="preserve">, </w:t>
      </w:r>
      <w:proofErr w:type="spellStart"/>
      <w:r w:rsidRPr="00D90EC4">
        <w:rPr>
          <w:b w:val="0"/>
          <w:sz w:val="18"/>
          <w:szCs w:val="18"/>
        </w:rPr>
        <w:t>Pb</w:t>
      </w:r>
      <w:proofErr w:type="spellEnd"/>
      <w:r w:rsidRPr="00D90EC4">
        <w:rPr>
          <w:b w:val="0"/>
          <w:sz w:val="18"/>
          <w:szCs w:val="18"/>
        </w:rPr>
        <w:t xml:space="preserve">, </w:t>
      </w:r>
      <w:proofErr w:type="spellStart"/>
      <w:r w:rsidRPr="00D90EC4">
        <w:rPr>
          <w:b w:val="0"/>
          <w:sz w:val="18"/>
          <w:szCs w:val="18"/>
        </w:rPr>
        <w:t>Pr</w:t>
      </w:r>
      <w:proofErr w:type="spellEnd"/>
      <w:r w:rsidRPr="00D90EC4">
        <w:rPr>
          <w:b w:val="0"/>
          <w:sz w:val="18"/>
          <w:szCs w:val="18"/>
        </w:rPr>
        <w:t xml:space="preserve">, Sr, Y; B = </w:t>
      </w:r>
      <w:proofErr w:type="spellStart"/>
      <w:r w:rsidRPr="00D90EC4">
        <w:rPr>
          <w:b w:val="0"/>
          <w:sz w:val="18"/>
          <w:szCs w:val="18"/>
        </w:rPr>
        <w:t>Nb</w:t>
      </w:r>
      <w:proofErr w:type="spellEnd"/>
      <w:r w:rsidRPr="00D90EC4">
        <w:rPr>
          <w:b w:val="0"/>
          <w:sz w:val="18"/>
          <w:szCs w:val="18"/>
        </w:rPr>
        <w:t xml:space="preserve">, Ta; </w:t>
      </w:r>
      <w:r w:rsidRPr="00D90EC4">
        <w:rPr>
          <w:b w:val="0"/>
          <w:i/>
          <w:sz w:val="18"/>
          <w:szCs w:val="18"/>
        </w:rPr>
        <w:t xml:space="preserve">m </w:t>
      </w:r>
      <w:r w:rsidRPr="00D90EC4">
        <w:rPr>
          <w:b w:val="0"/>
          <w:sz w:val="18"/>
          <w:szCs w:val="18"/>
        </w:rPr>
        <w:t xml:space="preserve">= 1–3; </w:t>
      </w:r>
      <w:r w:rsidRPr="00D90EC4">
        <w:rPr>
          <w:b w:val="0"/>
          <w:i/>
          <w:sz w:val="18"/>
          <w:szCs w:val="18"/>
        </w:rPr>
        <w:t xml:space="preserve">n </w:t>
      </w:r>
      <w:r w:rsidRPr="00D90EC4">
        <w:rPr>
          <w:b w:val="0"/>
          <w:sz w:val="18"/>
          <w:szCs w:val="18"/>
        </w:rPr>
        <w:t>= 1, 1.5, 2). The three dimensional layered oxides are comprised of edge-shared BO</w:t>
      </w:r>
      <w:r w:rsidRPr="00D90EC4">
        <w:rPr>
          <w:b w:val="0"/>
          <w:sz w:val="18"/>
          <w:szCs w:val="18"/>
          <w:vertAlign w:val="subscript"/>
        </w:rPr>
        <w:t>7</w:t>
      </w:r>
      <w:r w:rsidRPr="00D90EC4">
        <w:rPr>
          <w:b w:val="0"/>
          <w:sz w:val="18"/>
          <w:szCs w:val="18"/>
        </w:rPr>
        <w:t xml:space="preserve"> pentagonal pyramids that are arranged in single, double, and/or triple layers.  The structures are differentiated by the average thickness, (i.e., 1 ≤ </w:t>
      </w:r>
      <w:r w:rsidRPr="00D90EC4">
        <w:rPr>
          <w:b w:val="0"/>
          <w:i/>
          <w:sz w:val="18"/>
          <w:szCs w:val="18"/>
        </w:rPr>
        <w:t>n</w:t>
      </w:r>
      <w:r w:rsidRPr="00D90EC4">
        <w:rPr>
          <w:b w:val="0"/>
          <w:sz w:val="18"/>
          <w:szCs w:val="18"/>
        </w:rPr>
        <w:t xml:space="preserve"> ≤ 2), of the BO</w:t>
      </w:r>
      <w:r w:rsidRPr="00D90EC4">
        <w:rPr>
          <w:b w:val="0"/>
          <w:sz w:val="18"/>
          <w:szCs w:val="18"/>
          <w:vertAlign w:val="subscript"/>
        </w:rPr>
        <w:t>7</w:t>
      </w:r>
      <w:r w:rsidRPr="00D90EC4">
        <w:rPr>
          <w:b w:val="0"/>
          <w:sz w:val="18"/>
          <w:szCs w:val="18"/>
        </w:rPr>
        <w:t xml:space="preserve"> layers and the local coordination environment of the “A” site cations. Temperature dependent polymorphism has been investigated for structures containing single layered (</w:t>
      </w:r>
      <w:r w:rsidRPr="00D90EC4">
        <w:rPr>
          <w:b w:val="0"/>
          <w:i/>
          <w:sz w:val="18"/>
          <w:szCs w:val="18"/>
        </w:rPr>
        <w:t xml:space="preserve">n </w:t>
      </w:r>
      <w:r w:rsidRPr="00D90EC4">
        <w:rPr>
          <w:b w:val="0"/>
          <w:sz w:val="18"/>
          <w:szCs w:val="18"/>
        </w:rPr>
        <w:t>= 1) monovalent (</w:t>
      </w:r>
      <w:r w:rsidRPr="00D90EC4">
        <w:rPr>
          <w:b w:val="0"/>
          <w:i/>
          <w:sz w:val="18"/>
          <w:szCs w:val="18"/>
        </w:rPr>
        <w:t xml:space="preserve">m </w:t>
      </w:r>
      <w:r w:rsidRPr="00D90EC4">
        <w:rPr>
          <w:b w:val="0"/>
          <w:sz w:val="18"/>
          <w:szCs w:val="18"/>
        </w:rPr>
        <w:t>= 1) “A” site cations (e.g., Ag</w:t>
      </w:r>
      <w:r w:rsidRPr="00D90EC4">
        <w:rPr>
          <w:b w:val="0"/>
          <w:sz w:val="18"/>
          <w:szCs w:val="18"/>
          <w:vertAlign w:val="subscript"/>
        </w:rPr>
        <w:t>2</w:t>
      </w:r>
      <w:r w:rsidRPr="00D90EC4">
        <w:rPr>
          <w:b w:val="0"/>
          <w:sz w:val="18"/>
          <w:szCs w:val="18"/>
        </w:rPr>
        <w:t>Nb</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Na</w:t>
      </w:r>
      <w:r w:rsidRPr="00D90EC4">
        <w:rPr>
          <w:b w:val="0"/>
          <w:sz w:val="18"/>
          <w:szCs w:val="18"/>
          <w:vertAlign w:val="subscript"/>
        </w:rPr>
        <w:t>2</w:t>
      </w:r>
      <w:r w:rsidRPr="00D90EC4">
        <w:rPr>
          <w:b w:val="0"/>
          <w:sz w:val="18"/>
          <w:szCs w:val="18"/>
        </w:rPr>
        <w:t>Nb</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and Cu</w:t>
      </w:r>
      <w:r w:rsidRPr="00D90EC4">
        <w:rPr>
          <w:b w:val="0"/>
          <w:sz w:val="18"/>
          <w:szCs w:val="18"/>
          <w:vertAlign w:val="subscript"/>
        </w:rPr>
        <w:t>2</w:t>
      </w:r>
      <w:r w:rsidRPr="00D90EC4">
        <w:rPr>
          <w:b w:val="0"/>
          <w:sz w:val="18"/>
          <w:szCs w:val="18"/>
        </w:rPr>
        <w:t>Ta</w:t>
      </w:r>
      <w:r w:rsidRPr="00D90EC4">
        <w:rPr>
          <w:b w:val="0"/>
          <w:sz w:val="18"/>
          <w:szCs w:val="18"/>
          <w:vertAlign w:val="subscript"/>
        </w:rPr>
        <w:t>4</w:t>
      </w:r>
      <w:r w:rsidRPr="00D90EC4">
        <w:rPr>
          <w:b w:val="0"/>
          <w:sz w:val="18"/>
          <w:szCs w:val="18"/>
        </w:rPr>
        <w:t>O</w:t>
      </w:r>
      <w:r w:rsidRPr="00D90EC4">
        <w:rPr>
          <w:b w:val="0"/>
          <w:sz w:val="18"/>
          <w:szCs w:val="18"/>
          <w:vertAlign w:val="subscript"/>
        </w:rPr>
        <w:t xml:space="preserve">11.  </w:t>
      </w:r>
      <w:r w:rsidRPr="00D90EC4">
        <w:rPr>
          <w:b w:val="0"/>
          <w:sz w:val="18"/>
          <w:szCs w:val="18"/>
        </w:rPr>
        <w:t xml:space="preserve">Symmetry lowering distortions were observed for the </w:t>
      </w:r>
      <w:proofErr w:type="spellStart"/>
      <w:r w:rsidRPr="00D90EC4">
        <w:rPr>
          <w:b w:val="0"/>
          <w:sz w:val="18"/>
          <w:szCs w:val="18"/>
        </w:rPr>
        <w:t>Pb</w:t>
      </w:r>
      <w:proofErr w:type="spellEnd"/>
      <w:r w:rsidRPr="00D90EC4">
        <w:rPr>
          <w:b w:val="0"/>
          <w:sz w:val="18"/>
          <w:szCs w:val="18"/>
        </w:rPr>
        <w:t xml:space="preserve"> ion-exchange synthesis of Ag</w:t>
      </w:r>
      <w:r w:rsidRPr="00D90EC4">
        <w:rPr>
          <w:b w:val="0"/>
          <w:sz w:val="18"/>
          <w:szCs w:val="18"/>
          <w:vertAlign w:val="subscript"/>
        </w:rPr>
        <w:t>2</w:t>
      </w:r>
      <w:r w:rsidRPr="00D90EC4">
        <w:rPr>
          <w:b w:val="0"/>
          <w:sz w:val="18"/>
          <w:szCs w:val="18"/>
        </w:rPr>
        <w:t>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xml:space="preserve"> to yield PbTa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Several members (e.g., Ag</w:t>
      </w:r>
      <w:r w:rsidRPr="00D90EC4">
        <w:rPr>
          <w:b w:val="0"/>
          <w:sz w:val="18"/>
          <w:szCs w:val="18"/>
          <w:vertAlign w:val="subscript"/>
        </w:rPr>
        <w:t>2</w:t>
      </w:r>
      <w:r w:rsidRPr="00D90EC4">
        <w:rPr>
          <w:b w:val="0"/>
          <w:sz w:val="18"/>
          <w:szCs w:val="18"/>
        </w:rPr>
        <w:t>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BiTa</w:t>
      </w:r>
      <w:r w:rsidRPr="00D90EC4">
        <w:rPr>
          <w:b w:val="0"/>
          <w:sz w:val="18"/>
          <w:szCs w:val="18"/>
          <w:vertAlign w:val="subscript"/>
        </w:rPr>
        <w:t>7</w:t>
      </w:r>
      <w:r w:rsidRPr="00D90EC4">
        <w:rPr>
          <w:b w:val="0"/>
          <w:sz w:val="18"/>
          <w:szCs w:val="18"/>
        </w:rPr>
        <w:t>O</w:t>
      </w:r>
      <w:r w:rsidRPr="00D90EC4">
        <w:rPr>
          <w:b w:val="0"/>
          <w:sz w:val="18"/>
          <w:szCs w:val="18"/>
          <w:vertAlign w:val="subscript"/>
        </w:rPr>
        <w:t>19</w:t>
      </w:r>
      <w:r w:rsidRPr="00D90EC4">
        <w:rPr>
          <w:b w:val="0"/>
          <w:sz w:val="18"/>
          <w:szCs w:val="18"/>
        </w:rPr>
        <w:t>, CaTa</w:t>
      </w:r>
      <w:r w:rsidRPr="00D90EC4">
        <w:rPr>
          <w:b w:val="0"/>
          <w:sz w:val="18"/>
          <w:szCs w:val="18"/>
          <w:vertAlign w:val="subscript"/>
        </w:rPr>
        <w:t>4</w:t>
      </w:r>
      <w:r w:rsidRPr="00D90EC4">
        <w:rPr>
          <w:b w:val="0"/>
          <w:sz w:val="18"/>
          <w:szCs w:val="18"/>
        </w:rPr>
        <w:t>O11, Cu</w:t>
      </w:r>
      <w:r w:rsidRPr="00D90EC4">
        <w:rPr>
          <w:b w:val="0"/>
          <w:sz w:val="18"/>
          <w:szCs w:val="18"/>
          <w:vertAlign w:val="subscript"/>
        </w:rPr>
        <w:t>2</w:t>
      </w:r>
      <w:r w:rsidRPr="00D90EC4">
        <w:rPr>
          <w:b w:val="0"/>
          <w:sz w:val="18"/>
          <w:szCs w:val="18"/>
        </w:rPr>
        <w:t>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Cu</w:t>
      </w:r>
      <w:r w:rsidRPr="00D90EC4">
        <w:rPr>
          <w:b w:val="0"/>
          <w:sz w:val="18"/>
          <w:szCs w:val="18"/>
          <w:vertAlign w:val="subscript"/>
        </w:rPr>
        <w:t>5</w:t>
      </w:r>
      <w:r w:rsidRPr="00D90EC4">
        <w:rPr>
          <w:b w:val="0"/>
          <w:sz w:val="18"/>
          <w:szCs w:val="18"/>
        </w:rPr>
        <w:t>Ta</w:t>
      </w:r>
      <w:r w:rsidRPr="00D90EC4">
        <w:rPr>
          <w:b w:val="0"/>
          <w:sz w:val="18"/>
          <w:szCs w:val="18"/>
          <w:vertAlign w:val="subscript"/>
        </w:rPr>
        <w:t>11</w:t>
      </w:r>
      <w:r w:rsidRPr="00D90EC4">
        <w:rPr>
          <w:b w:val="0"/>
          <w:sz w:val="18"/>
          <w:szCs w:val="18"/>
        </w:rPr>
        <w:t>O</w:t>
      </w:r>
      <w:r w:rsidRPr="00D90EC4">
        <w:rPr>
          <w:b w:val="0"/>
          <w:sz w:val="18"/>
          <w:szCs w:val="18"/>
          <w:vertAlign w:val="subscript"/>
        </w:rPr>
        <w:t>30</w:t>
      </w:r>
      <w:r w:rsidRPr="00D90EC4">
        <w:rPr>
          <w:b w:val="0"/>
          <w:sz w:val="18"/>
          <w:szCs w:val="18"/>
        </w:rPr>
        <w:t>, Cu</w:t>
      </w:r>
      <w:r w:rsidRPr="00D90EC4">
        <w:rPr>
          <w:b w:val="0"/>
          <w:sz w:val="18"/>
          <w:szCs w:val="18"/>
          <w:vertAlign w:val="subscript"/>
        </w:rPr>
        <w:t>3</w:t>
      </w:r>
      <w:r w:rsidRPr="00D90EC4">
        <w:rPr>
          <w:b w:val="0"/>
          <w:sz w:val="18"/>
          <w:szCs w:val="18"/>
        </w:rPr>
        <w:t>Ta</w:t>
      </w:r>
      <w:r w:rsidRPr="00D90EC4">
        <w:rPr>
          <w:b w:val="0"/>
          <w:sz w:val="18"/>
          <w:szCs w:val="18"/>
          <w:vertAlign w:val="subscript"/>
        </w:rPr>
        <w:t>7</w:t>
      </w:r>
      <w:r w:rsidRPr="00D90EC4">
        <w:rPr>
          <w:b w:val="0"/>
          <w:sz w:val="18"/>
          <w:szCs w:val="18"/>
        </w:rPr>
        <w:t>O</w:t>
      </w:r>
      <w:r w:rsidRPr="00D90EC4">
        <w:rPr>
          <w:b w:val="0"/>
          <w:sz w:val="18"/>
          <w:szCs w:val="18"/>
          <w:vertAlign w:val="subscript"/>
        </w:rPr>
        <w:t>19</w:t>
      </w:r>
      <w:r w:rsidRPr="00D90EC4">
        <w:rPr>
          <w:b w:val="0"/>
          <w:sz w:val="18"/>
          <w:szCs w:val="18"/>
        </w:rPr>
        <w:t>, Na</w:t>
      </w:r>
      <w:r w:rsidRPr="00D90EC4">
        <w:rPr>
          <w:b w:val="0"/>
          <w:sz w:val="18"/>
          <w:szCs w:val="18"/>
          <w:vertAlign w:val="subscript"/>
        </w:rPr>
        <w:t>2</w:t>
      </w:r>
      <w:r w:rsidRPr="00D90EC4">
        <w:rPr>
          <w:b w:val="0"/>
          <w:sz w:val="18"/>
          <w:szCs w:val="18"/>
        </w:rPr>
        <w:t>Nb</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Na</w:t>
      </w:r>
      <w:r w:rsidRPr="00D90EC4">
        <w:rPr>
          <w:b w:val="0"/>
          <w:sz w:val="18"/>
          <w:szCs w:val="18"/>
          <w:vertAlign w:val="subscript"/>
        </w:rPr>
        <w:t>2</w:t>
      </w:r>
      <w:r w:rsidRPr="00D90EC4">
        <w:rPr>
          <w:b w:val="0"/>
          <w:sz w:val="18"/>
          <w:szCs w:val="18"/>
        </w:rPr>
        <w:t>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PbTa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SnTa</w:t>
      </w:r>
      <w:r w:rsidRPr="00D90EC4">
        <w:rPr>
          <w:b w:val="0"/>
          <w:sz w:val="18"/>
          <w:szCs w:val="18"/>
          <w:vertAlign w:val="subscript"/>
        </w:rPr>
        <w:t>4</w:t>
      </w:r>
      <w:r w:rsidRPr="00D90EC4">
        <w:rPr>
          <w:b w:val="0"/>
          <w:sz w:val="18"/>
          <w:szCs w:val="18"/>
        </w:rPr>
        <w:t>O</w:t>
      </w:r>
      <w:r w:rsidRPr="00D90EC4">
        <w:rPr>
          <w:b w:val="0"/>
          <w:sz w:val="18"/>
          <w:szCs w:val="18"/>
          <w:vertAlign w:val="subscript"/>
        </w:rPr>
        <w:t>11</w:t>
      </w:r>
      <w:r w:rsidRPr="00D90EC4">
        <w:rPr>
          <w:b w:val="0"/>
          <w:sz w:val="18"/>
          <w:szCs w:val="18"/>
        </w:rPr>
        <w:t xml:space="preserve">) constructed with various stacking schemes have been constructed have been reviewed for application in the conversion of solar energy to chemical fuels via water splitting. The photocatalysts are suitable for visible and ultraviolet photocatalytic activity as both suspended particles and polycrystalline films for photocatalytic/photoelectrochemical redox reactions. </w:t>
      </w:r>
    </w:p>
    <w:p w:rsidR="00AE3E37" w:rsidRDefault="00A9710C">
      <w:pPr>
        <w:pStyle w:val="Heading3"/>
        <w:spacing w:before="74"/>
      </w:pPr>
      <w:r>
        <w:rPr>
          <w:b w:val="0"/>
        </w:rPr>
        <w:br w:type="column"/>
      </w:r>
      <w:r>
        <w:rPr>
          <w:color w:val="BF5A14"/>
        </w:rPr>
        <w:t>Image</w:t>
      </w:r>
    </w:p>
    <w:p w:rsidR="00AE3E37" w:rsidRDefault="00AE3E37">
      <w:pPr>
        <w:pStyle w:val="BodyText"/>
        <w:spacing w:before="2"/>
        <w:rPr>
          <w:noProof/>
        </w:rPr>
      </w:pPr>
    </w:p>
    <w:p w:rsidR="0070085C" w:rsidRDefault="0070085C">
      <w:pPr>
        <w:pStyle w:val="BodyText"/>
        <w:spacing w:before="2"/>
        <w:rPr>
          <w:rFonts w:ascii="Arial"/>
          <w:b/>
          <w:sz w:val="16"/>
        </w:rPr>
      </w:pPr>
      <w:r>
        <w:rPr>
          <w:rFonts w:ascii="Arial"/>
          <w:b/>
          <w:noProof/>
          <w:sz w:val="16"/>
        </w:rPr>
        <w:drawing>
          <wp:inline distT="0" distB="0" distL="0" distR="0">
            <wp:extent cx="3165475" cy="5438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uly 2017 MMSD Newsletter Article figure.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543877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73626" w:rsidRDefault="00E73626" w:rsidP="00E73626">
      <w:pPr>
        <w:autoSpaceDE w:val="0"/>
        <w:autoSpaceDN w:val="0"/>
        <w:adjustRightInd w:val="0"/>
        <w:spacing w:after="160"/>
        <w:rPr>
          <w:rFonts w:ascii="Calibri" w:hAnsi="Calibri"/>
        </w:rPr>
      </w:pPr>
    </w:p>
    <w:p w:rsidR="000821EC" w:rsidRPr="00EA6FA6" w:rsidRDefault="00E73626" w:rsidP="000821EC">
      <w:pPr>
        <w:autoSpaceDE w:val="0"/>
        <w:autoSpaceDN w:val="0"/>
        <w:adjustRightInd w:val="0"/>
        <w:spacing w:after="160"/>
        <w:ind w:left="640" w:hanging="640"/>
        <w:rPr>
          <w:rFonts w:ascii="Calibri" w:hAnsi="Calibri" w:cs="Times New Roman"/>
          <w:noProof/>
          <w:szCs w:val="24"/>
        </w:rPr>
      </w:pPr>
      <w:r>
        <w:rPr>
          <w:rFonts w:ascii="Calibri" w:hAnsi="Calibri"/>
        </w:rPr>
        <w:t>(1)</w:t>
      </w:r>
      <w:r>
        <w:rPr>
          <w:rFonts w:ascii="Calibri" w:hAnsi="Calibri"/>
        </w:rPr>
        <w:tab/>
      </w:r>
      <w:r w:rsidR="000821EC" w:rsidRPr="00EA6FA6">
        <w:rPr>
          <w:rFonts w:ascii="Calibri" w:hAnsi="Calibri" w:cs="Times New Roman"/>
          <w:noProof/>
          <w:szCs w:val="24"/>
        </w:rPr>
        <w:t xml:space="preserve">King, N.; Boltersdorf, J.; Maggard, P.; Wong-Ng, W. Polymorphism and Structural Distortions of Mixed-Metal Oxide Photocatalysts Constructed with α-U3O8 Types of Layers. </w:t>
      </w:r>
      <w:r w:rsidR="000821EC" w:rsidRPr="00EA6FA6">
        <w:rPr>
          <w:rFonts w:ascii="Calibri" w:hAnsi="Calibri" w:cs="Times New Roman"/>
          <w:i/>
          <w:iCs/>
          <w:noProof/>
          <w:szCs w:val="24"/>
        </w:rPr>
        <w:t>Crystals</w:t>
      </w:r>
      <w:r w:rsidR="000821EC" w:rsidRPr="00EA6FA6">
        <w:rPr>
          <w:rFonts w:ascii="Calibri" w:hAnsi="Calibri" w:cs="Times New Roman"/>
          <w:noProof/>
          <w:szCs w:val="24"/>
        </w:rPr>
        <w:t xml:space="preserve"> </w:t>
      </w:r>
      <w:r w:rsidR="000821EC" w:rsidRPr="00EA6FA6">
        <w:rPr>
          <w:rFonts w:ascii="Calibri" w:hAnsi="Calibri" w:cs="Times New Roman"/>
          <w:b/>
          <w:bCs/>
          <w:noProof/>
          <w:szCs w:val="24"/>
        </w:rPr>
        <w:t>2017</w:t>
      </w:r>
      <w:r w:rsidR="000821EC" w:rsidRPr="00EA6FA6">
        <w:rPr>
          <w:rFonts w:ascii="Calibri" w:hAnsi="Calibri" w:cs="Times New Roman"/>
          <w:noProof/>
          <w:szCs w:val="24"/>
        </w:rPr>
        <w:t xml:space="preserve">, </w:t>
      </w:r>
      <w:r w:rsidR="000821EC" w:rsidRPr="00EA6FA6">
        <w:rPr>
          <w:rFonts w:ascii="Calibri" w:hAnsi="Calibri" w:cs="Times New Roman"/>
          <w:i/>
          <w:iCs/>
          <w:noProof/>
          <w:szCs w:val="24"/>
        </w:rPr>
        <w:t>7</w:t>
      </w:r>
      <w:r w:rsidR="000821EC" w:rsidRPr="00EA6FA6">
        <w:rPr>
          <w:rFonts w:ascii="Calibri" w:hAnsi="Calibri" w:cs="Times New Roman"/>
          <w:noProof/>
          <w:szCs w:val="24"/>
        </w:rPr>
        <w:t xml:space="preserve"> (6), 145 DOI: 10.3390/cryst7050145.</w:t>
      </w:r>
    </w:p>
    <w:p w:rsidR="000821EC" w:rsidRPr="00EA6FA6" w:rsidRDefault="000821EC" w:rsidP="000821EC">
      <w:pPr>
        <w:autoSpaceDE w:val="0"/>
        <w:autoSpaceDN w:val="0"/>
        <w:adjustRightInd w:val="0"/>
        <w:spacing w:after="160"/>
        <w:ind w:left="640" w:hanging="640"/>
        <w:rPr>
          <w:rFonts w:ascii="Calibri" w:hAnsi="Calibri" w:cs="Times New Roman"/>
          <w:noProof/>
          <w:szCs w:val="24"/>
        </w:rPr>
      </w:pPr>
      <w:r w:rsidRPr="00EA6FA6">
        <w:rPr>
          <w:rFonts w:ascii="Calibri" w:hAnsi="Calibri" w:cs="Times New Roman"/>
          <w:noProof/>
          <w:szCs w:val="24"/>
        </w:rPr>
        <w:lastRenderedPageBreak/>
        <w:t xml:space="preserve">(2) </w:t>
      </w:r>
      <w:r w:rsidRPr="00EA6FA6">
        <w:rPr>
          <w:rFonts w:ascii="Calibri" w:hAnsi="Calibri" w:cs="Times New Roman"/>
          <w:noProof/>
          <w:szCs w:val="24"/>
        </w:rPr>
        <w:tab/>
        <w:t xml:space="preserve">King, N.; Sullivan, I.; Watkins-Curry, P.; Chan, J. Y.; Maggard, P. A. Flux-mediated syntheses, structural characterization and low-temperature polymorphism of the p-type semiconductor Cu2Ta4O11. </w:t>
      </w:r>
      <w:r w:rsidRPr="00EA6FA6">
        <w:rPr>
          <w:rFonts w:ascii="Calibri" w:hAnsi="Calibri" w:cs="Times New Roman"/>
          <w:i/>
          <w:iCs/>
          <w:noProof/>
          <w:szCs w:val="24"/>
        </w:rPr>
        <w:t>J. Solid State Chem.</w:t>
      </w:r>
      <w:r w:rsidRPr="00EA6FA6">
        <w:rPr>
          <w:rFonts w:ascii="Calibri" w:hAnsi="Calibri" w:cs="Times New Roman"/>
          <w:noProof/>
          <w:szCs w:val="24"/>
        </w:rPr>
        <w:t xml:space="preserve"> </w:t>
      </w:r>
      <w:r w:rsidRPr="00EA6FA6">
        <w:rPr>
          <w:rFonts w:ascii="Calibri" w:hAnsi="Calibri" w:cs="Times New Roman"/>
          <w:b/>
          <w:bCs/>
          <w:noProof/>
          <w:szCs w:val="24"/>
        </w:rPr>
        <w:t>2016</w:t>
      </w:r>
      <w:r w:rsidRPr="00EA6FA6">
        <w:rPr>
          <w:rFonts w:ascii="Calibri" w:hAnsi="Calibri" w:cs="Times New Roman"/>
          <w:noProof/>
          <w:szCs w:val="24"/>
        </w:rPr>
        <w:t xml:space="preserve">, </w:t>
      </w:r>
      <w:r w:rsidRPr="00EA6FA6">
        <w:rPr>
          <w:rFonts w:ascii="Calibri" w:hAnsi="Calibri" w:cs="Times New Roman"/>
          <w:i/>
          <w:iCs/>
          <w:noProof/>
          <w:szCs w:val="24"/>
        </w:rPr>
        <w:t>236</w:t>
      </w:r>
      <w:r w:rsidRPr="00EA6FA6">
        <w:rPr>
          <w:rFonts w:ascii="Calibri" w:hAnsi="Calibri" w:cs="Times New Roman"/>
          <w:noProof/>
          <w:szCs w:val="24"/>
        </w:rPr>
        <w:t>, 10–18 DOI: 10.1016/j.jssc.2015.08.041.</w:t>
      </w:r>
    </w:p>
    <w:p w:rsidR="000821EC" w:rsidRPr="00EA6FA6" w:rsidRDefault="000821EC" w:rsidP="000821EC">
      <w:pPr>
        <w:autoSpaceDE w:val="0"/>
        <w:autoSpaceDN w:val="0"/>
        <w:adjustRightInd w:val="0"/>
        <w:spacing w:after="160"/>
        <w:ind w:left="640" w:hanging="640"/>
        <w:rPr>
          <w:rFonts w:ascii="Calibri" w:hAnsi="Calibri" w:cs="Times New Roman"/>
          <w:noProof/>
          <w:szCs w:val="24"/>
        </w:rPr>
      </w:pPr>
      <w:r w:rsidRPr="00EA6FA6">
        <w:rPr>
          <w:rFonts w:ascii="Calibri" w:hAnsi="Calibri" w:cs="Times New Roman"/>
          <w:noProof/>
          <w:szCs w:val="24"/>
        </w:rPr>
        <w:t xml:space="preserve">(3) </w:t>
      </w:r>
      <w:r w:rsidRPr="00EA6FA6">
        <w:rPr>
          <w:rFonts w:ascii="Calibri" w:hAnsi="Calibri" w:cs="Times New Roman"/>
          <w:noProof/>
          <w:szCs w:val="24"/>
        </w:rPr>
        <w:tab/>
        <w:t xml:space="preserve">Boltersdorf, J.; King, N.; Maggard, P. A. Flux-mediated crystal growth of metal oxides: synthetic tunability of particle morphologies, sizes, and surface features for photocatalysis research. </w:t>
      </w:r>
      <w:r w:rsidRPr="00EA6FA6">
        <w:rPr>
          <w:rFonts w:ascii="Calibri" w:hAnsi="Calibri" w:cs="Times New Roman"/>
          <w:i/>
          <w:iCs/>
          <w:noProof/>
          <w:szCs w:val="24"/>
        </w:rPr>
        <w:t>CrystEngComm</w:t>
      </w:r>
      <w:r w:rsidRPr="00EA6FA6">
        <w:rPr>
          <w:rFonts w:ascii="Calibri" w:hAnsi="Calibri" w:cs="Times New Roman"/>
          <w:noProof/>
          <w:szCs w:val="24"/>
        </w:rPr>
        <w:t xml:space="preserve"> </w:t>
      </w:r>
      <w:r w:rsidRPr="00EA6FA6">
        <w:rPr>
          <w:rFonts w:ascii="Calibri" w:hAnsi="Calibri" w:cs="Times New Roman"/>
          <w:b/>
          <w:bCs/>
          <w:noProof/>
          <w:szCs w:val="24"/>
        </w:rPr>
        <w:t>2015</w:t>
      </w:r>
      <w:r w:rsidRPr="00EA6FA6">
        <w:rPr>
          <w:rFonts w:ascii="Calibri" w:hAnsi="Calibri" w:cs="Times New Roman"/>
          <w:noProof/>
          <w:szCs w:val="24"/>
        </w:rPr>
        <w:t xml:space="preserve">, </w:t>
      </w:r>
      <w:r w:rsidRPr="00EA6FA6">
        <w:rPr>
          <w:rFonts w:ascii="Calibri" w:hAnsi="Calibri" w:cs="Times New Roman"/>
          <w:i/>
          <w:iCs/>
          <w:noProof/>
          <w:szCs w:val="24"/>
        </w:rPr>
        <w:t>17</w:t>
      </w:r>
      <w:r w:rsidRPr="00EA6FA6">
        <w:rPr>
          <w:rFonts w:ascii="Calibri" w:hAnsi="Calibri" w:cs="Times New Roman"/>
          <w:noProof/>
          <w:szCs w:val="24"/>
        </w:rPr>
        <w:t xml:space="preserve"> (11), 2225–2241 DOI: 10.1039/C4CE01587H.</w:t>
      </w:r>
    </w:p>
    <w:p w:rsidR="000821EC" w:rsidRPr="00EA6FA6" w:rsidRDefault="000821EC" w:rsidP="000821EC">
      <w:pPr>
        <w:autoSpaceDE w:val="0"/>
        <w:autoSpaceDN w:val="0"/>
        <w:adjustRightInd w:val="0"/>
        <w:spacing w:after="160"/>
        <w:ind w:left="640" w:hanging="640"/>
        <w:rPr>
          <w:rFonts w:ascii="Calibri" w:hAnsi="Calibri" w:cs="Times New Roman"/>
          <w:noProof/>
          <w:szCs w:val="24"/>
        </w:rPr>
      </w:pPr>
      <w:r w:rsidRPr="00EA6FA6">
        <w:rPr>
          <w:rFonts w:ascii="Calibri" w:hAnsi="Calibri" w:cs="Times New Roman"/>
          <w:noProof/>
          <w:szCs w:val="24"/>
        </w:rPr>
        <w:t xml:space="preserve">(4) </w:t>
      </w:r>
      <w:r w:rsidRPr="00EA6FA6">
        <w:rPr>
          <w:rFonts w:ascii="Calibri" w:hAnsi="Calibri" w:cs="Times New Roman"/>
          <w:noProof/>
          <w:szCs w:val="24"/>
        </w:rPr>
        <w:tab/>
        <w:t xml:space="preserve">King, N.; Sommer, R. D.; Watkins-Curry, P.; Chan, J. </w:t>
      </w:r>
      <w:r w:rsidRPr="00EA6FA6">
        <w:rPr>
          <w:rFonts w:ascii="Calibri" w:hAnsi="Calibri" w:cs="Times New Roman"/>
          <w:noProof/>
          <w:szCs w:val="24"/>
        </w:rPr>
        <w:t xml:space="preserve">Y.; Maggard, P. A. Synthesis, Structure, and Thermal Instability of the Cu2Ta4O11 Phase. </w:t>
      </w:r>
      <w:r w:rsidRPr="00EA6FA6">
        <w:rPr>
          <w:rFonts w:ascii="Calibri" w:hAnsi="Calibri" w:cs="Times New Roman"/>
          <w:i/>
          <w:iCs/>
          <w:noProof/>
          <w:szCs w:val="24"/>
        </w:rPr>
        <w:t>Cryst. Growth Des.</w:t>
      </w:r>
      <w:r w:rsidRPr="00EA6FA6">
        <w:rPr>
          <w:rFonts w:ascii="Calibri" w:hAnsi="Calibri" w:cs="Times New Roman"/>
          <w:noProof/>
          <w:szCs w:val="24"/>
        </w:rPr>
        <w:t xml:space="preserve"> </w:t>
      </w:r>
      <w:r w:rsidRPr="00EA6FA6">
        <w:rPr>
          <w:rFonts w:ascii="Calibri" w:hAnsi="Calibri" w:cs="Times New Roman"/>
          <w:b/>
          <w:bCs/>
          <w:noProof/>
          <w:szCs w:val="24"/>
        </w:rPr>
        <w:t>2015</w:t>
      </w:r>
      <w:r w:rsidRPr="00EA6FA6">
        <w:rPr>
          <w:rFonts w:ascii="Calibri" w:hAnsi="Calibri" w:cs="Times New Roman"/>
          <w:noProof/>
          <w:szCs w:val="24"/>
        </w:rPr>
        <w:t xml:space="preserve">, </w:t>
      </w:r>
      <w:r w:rsidRPr="00EA6FA6">
        <w:rPr>
          <w:rFonts w:ascii="Calibri" w:hAnsi="Calibri" w:cs="Times New Roman"/>
          <w:i/>
          <w:iCs/>
          <w:noProof/>
          <w:szCs w:val="24"/>
        </w:rPr>
        <w:t>15</w:t>
      </w:r>
      <w:r w:rsidRPr="00EA6FA6">
        <w:rPr>
          <w:rFonts w:ascii="Calibri" w:hAnsi="Calibri" w:cs="Times New Roman"/>
          <w:noProof/>
          <w:szCs w:val="24"/>
        </w:rPr>
        <w:t>, 552–558 DOI: 10.1021/cg500987c.</w:t>
      </w:r>
    </w:p>
    <w:p w:rsidR="000821EC" w:rsidRPr="00EA6FA6" w:rsidRDefault="000821EC" w:rsidP="000821EC">
      <w:pPr>
        <w:autoSpaceDE w:val="0"/>
        <w:autoSpaceDN w:val="0"/>
        <w:adjustRightInd w:val="0"/>
        <w:spacing w:after="160"/>
        <w:ind w:left="640" w:hanging="640"/>
        <w:rPr>
          <w:rFonts w:ascii="Calibri" w:hAnsi="Calibri" w:cs="Times New Roman"/>
          <w:noProof/>
          <w:szCs w:val="24"/>
        </w:rPr>
      </w:pPr>
      <w:r w:rsidRPr="00EA6FA6">
        <w:rPr>
          <w:rFonts w:ascii="Calibri" w:hAnsi="Calibri" w:cs="Times New Roman"/>
          <w:noProof/>
          <w:szCs w:val="24"/>
        </w:rPr>
        <w:t xml:space="preserve">(5) </w:t>
      </w:r>
      <w:r w:rsidRPr="00EA6FA6">
        <w:rPr>
          <w:rFonts w:ascii="Calibri" w:hAnsi="Calibri" w:cs="Times New Roman"/>
          <w:noProof/>
          <w:szCs w:val="24"/>
        </w:rPr>
        <w:tab/>
        <w:t xml:space="preserve">King, N.; Sahoo, P. P.; Fuoco, L.; Stuart, S.; Dougherty, D.; Liu, Y.; Maggard, P. a. Copper Deficiency in the p-Type Semiconductor Cu1−xNb3O8. </w:t>
      </w:r>
      <w:r w:rsidRPr="00EA6FA6">
        <w:rPr>
          <w:rFonts w:ascii="Calibri" w:hAnsi="Calibri" w:cs="Times New Roman"/>
          <w:i/>
          <w:iCs/>
          <w:noProof/>
          <w:szCs w:val="24"/>
        </w:rPr>
        <w:t>Chem. Mater.</w:t>
      </w:r>
      <w:r w:rsidRPr="00EA6FA6">
        <w:rPr>
          <w:rFonts w:ascii="Calibri" w:hAnsi="Calibri" w:cs="Times New Roman"/>
          <w:noProof/>
          <w:szCs w:val="24"/>
        </w:rPr>
        <w:t xml:space="preserve"> </w:t>
      </w:r>
      <w:r w:rsidRPr="00EA6FA6">
        <w:rPr>
          <w:rFonts w:ascii="Calibri" w:hAnsi="Calibri" w:cs="Times New Roman"/>
          <w:b/>
          <w:bCs/>
          <w:noProof/>
          <w:szCs w:val="24"/>
        </w:rPr>
        <w:t>2014</w:t>
      </w:r>
      <w:r w:rsidRPr="00EA6FA6">
        <w:rPr>
          <w:rFonts w:ascii="Calibri" w:hAnsi="Calibri" w:cs="Times New Roman"/>
          <w:noProof/>
          <w:szCs w:val="24"/>
        </w:rPr>
        <w:t xml:space="preserve">, </w:t>
      </w:r>
      <w:r w:rsidRPr="00EA6FA6">
        <w:rPr>
          <w:rFonts w:ascii="Calibri" w:hAnsi="Calibri" w:cs="Times New Roman"/>
          <w:i/>
          <w:iCs/>
          <w:noProof/>
          <w:szCs w:val="24"/>
        </w:rPr>
        <w:t>26</w:t>
      </w:r>
      <w:r w:rsidRPr="00EA6FA6">
        <w:rPr>
          <w:rFonts w:ascii="Calibri" w:hAnsi="Calibri" w:cs="Times New Roman"/>
          <w:noProof/>
          <w:szCs w:val="24"/>
        </w:rPr>
        <w:t xml:space="preserve"> (12), 2095–2104 DOI: 10.1021/cm404147j.</w:t>
      </w:r>
    </w:p>
    <w:p w:rsidR="000821EC" w:rsidRPr="00EA6FA6" w:rsidRDefault="000821EC" w:rsidP="000821EC">
      <w:pPr>
        <w:autoSpaceDE w:val="0"/>
        <w:autoSpaceDN w:val="0"/>
        <w:adjustRightInd w:val="0"/>
        <w:spacing w:after="160"/>
        <w:ind w:left="640" w:hanging="640"/>
        <w:rPr>
          <w:rFonts w:ascii="Calibri" w:hAnsi="Calibri"/>
          <w:noProof/>
        </w:rPr>
      </w:pPr>
      <w:r w:rsidRPr="00EA6FA6">
        <w:rPr>
          <w:rFonts w:ascii="Calibri" w:hAnsi="Calibri" w:cs="Times New Roman"/>
          <w:noProof/>
          <w:szCs w:val="24"/>
        </w:rPr>
        <w:t xml:space="preserve">(6) </w:t>
      </w:r>
      <w:r w:rsidRPr="00EA6FA6">
        <w:rPr>
          <w:rFonts w:ascii="Calibri" w:hAnsi="Calibri" w:cs="Times New Roman"/>
          <w:noProof/>
          <w:szCs w:val="24"/>
        </w:rPr>
        <w:tab/>
        <w:t xml:space="preserve">Choi, J.; King, N.; Maggard, P. A. Metastable Cu(I)-niobate semiconductor with a low-temperature, nanoparticle-mediated synthesis. </w:t>
      </w:r>
      <w:r w:rsidRPr="00EA6FA6">
        <w:rPr>
          <w:rFonts w:ascii="Calibri" w:hAnsi="Calibri" w:cs="Times New Roman"/>
          <w:i/>
          <w:iCs/>
          <w:noProof/>
          <w:szCs w:val="24"/>
        </w:rPr>
        <w:t>ACS Nano</w:t>
      </w:r>
      <w:r w:rsidRPr="00EA6FA6">
        <w:rPr>
          <w:rFonts w:ascii="Calibri" w:hAnsi="Calibri" w:cs="Times New Roman"/>
          <w:noProof/>
          <w:szCs w:val="24"/>
        </w:rPr>
        <w:t xml:space="preserve"> </w:t>
      </w:r>
      <w:r w:rsidRPr="00EA6FA6">
        <w:rPr>
          <w:rFonts w:ascii="Calibri" w:hAnsi="Calibri" w:cs="Times New Roman"/>
          <w:b/>
          <w:bCs/>
          <w:noProof/>
          <w:szCs w:val="24"/>
        </w:rPr>
        <w:t>2013</w:t>
      </w:r>
      <w:r w:rsidRPr="00EA6FA6">
        <w:rPr>
          <w:rFonts w:ascii="Calibri" w:hAnsi="Calibri" w:cs="Times New Roman"/>
          <w:noProof/>
          <w:szCs w:val="24"/>
        </w:rPr>
        <w:t xml:space="preserve">, </w:t>
      </w:r>
      <w:r w:rsidRPr="00EA6FA6">
        <w:rPr>
          <w:rFonts w:ascii="Calibri" w:hAnsi="Calibri" w:cs="Times New Roman"/>
          <w:i/>
          <w:iCs/>
          <w:noProof/>
          <w:szCs w:val="24"/>
        </w:rPr>
        <w:t>7</w:t>
      </w:r>
      <w:r w:rsidRPr="00EA6FA6">
        <w:rPr>
          <w:rFonts w:ascii="Calibri" w:hAnsi="Calibri" w:cs="Times New Roman"/>
          <w:noProof/>
          <w:szCs w:val="24"/>
        </w:rPr>
        <w:t xml:space="preserve"> (2), 1699–1708 DOI: 10.1021/nn305707f.</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15D78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30069" cy="6176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61761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849A5">
      <w:pPr>
        <w:spacing w:before="41" w:line="154" w:lineRule="exact"/>
        <w:ind w:left="213" w:right="231"/>
        <w:jc w:val="both"/>
        <w:rPr>
          <w:rFonts w:ascii="Arial"/>
          <w:sz w:val="14"/>
        </w:rPr>
      </w:pPr>
      <w:r w:rsidRPr="00A849A5">
        <w:rPr>
          <w:rFonts w:ascii="Arial"/>
          <w:sz w:val="14"/>
        </w:rPr>
        <w:t xml:space="preserve">Nacole was born and raised in Norfolk, Virginia.  She completed her Bachelors of Science in Chemistry with a minor in mathematics at Virginia State University in 2010. Nacole received her Ph.D. in Chemistry from North Carolina State University under the direction of Prof. Paul A. </w:t>
      </w:r>
      <w:proofErr w:type="spellStart"/>
      <w:r w:rsidRPr="00A849A5">
        <w:rPr>
          <w:rFonts w:ascii="Arial"/>
          <w:sz w:val="14"/>
        </w:rPr>
        <w:t>Maggard</w:t>
      </w:r>
      <w:proofErr w:type="spellEnd"/>
      <w:r w:rsidRPr="00A849A5">
        <w:rPr>
          <w:rFonts w:ascii="Arial"/>
          <w:sz w:val="14"/>
        </w:rPr>
        <w:t xml:space="preserve">.  She investigated the syntheses and characterization of oxide semiconductors for application in solar energy conversion. Currently, she is a NRC Postdoctoral Fellow at the National Institute of Standards and Technology in the laboratory of Dr. Winnie Wong-Ng.  As a postdoctoral fellow, </w:t>
      </w:r>
      <w:proofErr w:type="spellStart"/>
      <w:r w:rsidRPr="00A849A5">
        <w:rPr>
          <w:rFonts w:ascii="Arial"/>
          <w:sz w:val="14"/>
        </w:rPr>
        <w:t>Nacole</w:t>
      </w:r>
      <w:r w:rsidRPr="00A849A5">
        <w:rPr>
          <w:rFonts w:ascii="Arial"/>
          <w:sz w:val="14"/>
        </w:rPr>
        <w:t>’</w:t>
      </w:r>
      <w:r w:rsidRPr="00A849A5">
        <w:rPr>
          <w:rFonts w:ascii="Arial"/>
          <w:sz w:val="14"/>
        </w:rPr>
        <w:t>s</w:t>
      </w:r>
      <w:proofErr w:type="spellEnd"/>
      <w:r w:rsidRPr="00A849A5">
        <w:rPr>
          <w:rFonts w:ascii="Arial"/>
          <w:sz w:val="14"/>
        </w:rPr>
        <w:t xml:space="preserve"> research focuses on combinational approach to study photocatalytic properties</w:t>
      </w:r>
      <w:r w:rsidR="00DE313F">
        <w:rPr>
          <w:rFonts w:ascii="Arial"/>
          <w:sz w:val="14"/>
        </w:rPr>
        <w:t xml:space="preserve"> of oxide materials. Dr. King was recently recognized as a 2017 </w:t>
      </w:r>
      <w:proofErr w:type="spellStart"/>
      <w:r w:rsidR="00DE313F">
        <w:rPr>
          <w:rFonts w:ascii="Arial"/>
          <w:sz w:val="14"/>
        </w:rPr>
        <w:t>SciFinder</w:t>
      </w:r>
      <w:proofErr w:type="spellEnd"/>
      <w:r w:rsidR="00DE313F">
        <w:rPr>
          <w:rFonts w:ascii="Arial"/>
          <w:sz w:val="14"/>
        </w:rPr>
        <w:t xml:space="preserve"> Future Leader.</w:t>
      </w:r>
    </w:p>
    <w:p w:rsidR="00DE313F" w:rsidRDefault="00DE313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A849A5">
        <w:t>nacole.king@nist.gov</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B73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90EC4" w:rsidRDefault="00A9710C">
                          <w:pPr>
                            <w:spacing w:line="184" w:lineRule="exact"/>
                            <w:ind w:left="20" w:right="-12"/>
                            <w:rPr>
                              <w:rFonts w:ascii="Arial"/>
                              <w:color w:val="FFFFFF"/>
                              <w:sz w:val="16"/>
                            </w:rPr>
                          </w:pPr>
                          <w:r w:rsidRPr="00D90EC4">
                            <w:rPr>
                              <w:rFonts w:ascii="Arial"/>
                              <w:color w:val="FFFFFF"/>
                              <w:sz w:val="16"/>
                            </w:rPr>
                            <w:t>J Pain Relief</w:t>
                          </w:r>
                        </w:p>
                        <w:p w:rsidR="00AE3E37" w:rsidRPr="00D90EC4" w:rsidRDefault="00A9710C">
                          <w:pPr>
                            <w:spacing w:before="8"/>
                            <w:ind w:left="20" w:right="-12"/>
                            <w:rPr>
                              <w:rFonts w:ascii="Arial"/>
                              <w:color w:val="FFFFFF"/>
                              <w:sz w:val="16"/>
                            </w:rPr>
                          </w:pPr>
                          <w:r w:rsidRPr="00D90EC4">
                            <w:rPr>
                              <w:rFonts w:ascii="Arial"/>
                              <w:color w:val="FFFFFF"/>
                              <w:sz w:val="16"/>
                            </w:rPr>
                            <w:t xml:space="preserve">ISSN: 2167-0846 JPAR an open access </w:t>
                          </w:r>
                          <w:proofErr w:type="spellStart"/>
                          <w:r w:rsidRPr="00D90EC4">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D90EC4" w:rsidRDefault="00A9710C">
                    <w:pPr>
                      <w:spacing w:line="184" w:lineRule="exact"/>
                      <w:ind w:left="20" w:right="-12"/>
                      <w:rPr>
                        <w:rFonts w:ascii="Arial"/>
                        <w:color w:val="FFFFFF"/>
                        <w:sz w:val="16"/>
                      </w:rPr>
                    </w:pPr>
                    <w:r w:rsidRPr="00D90EC4">
                      <w:rPr>
                        <w:rFonts w:ascii="Arial"/>
                        <w:color w:val="FFFFFF"/>
                        <w:sz w:val="16"/>
                      </w:rPr>
                      <w:t>J Pain Relief</w:t>
                    </w:r>
                  </w:p>
                  <w:p w:rsidR="00AE3E37" w:rsidRPr="00D90EC4" w:rsidRDefault="00A9710C">
                    <w:pPr>
                      <w:spacing w:before="8"/>
                      <w:ind w:left="20" w:right="-12"/>
                      <w:rPr>
                        <w:rFonts w:ascii="Arial"/>
                        <w:color w:val="FFFFFF"/>
                        <w:sz w:val="16"/>
                      </w:rPr>
                    </w:pPr>
                    <w:r w:rsidRPr="00D90EC4">
                      <w:rPr>
                        <w:rFonts w:ascii="Arial"/>
                        <w:color w:val="FFFFFF"/>
                        <w:sz w:val="16"/>
                      </w:rPr>
                      <w:t xml:space="preserve">ISSN: 2167-0846 JPAR an open access </w:t>
                    </w:r>
                    <w:proofErr w:type="spellStart"/>
                    <w:r w:rsidRPr="00D90EC4">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90EC4" w:rsidRDefault="00A9710C">
                          <w:pPr>
                            <w:spacing w:line="269" w:lineRule="exact"/>
                            <w:jc w:val="center"/>
                            <w:rPr>
                              <w:rFonts w:ascii="Impact"/>
                              <w:color w:val="FFFFFF"/>
                              <w:sz w:val="24"/>
                            </w:rPr>
                          </w:pPr>
                          <w:r w:rsidRPr="00D90EC4">
                            <w:rPr>
                              <w:rFonts w:ascii="Impact"/>
                              <w:color w:val="FFFFFF"/>
                              <w:sz w:val="24"/>
                            </w:rPr>
                            <w:t>Fibromyalgia 2016</w:t>
                          </w:r>
                        </w:p>
                        <w:p w:rsidR="00AE3E37" w:rsidRPr="00D90EC4" w:rsidRDefault="00A9710C">
                          <w:pPr>
                            <w:spacing w:before="29"/>
                            <w:jc w:val="center"/>
                            <w:rPr>
                              <w:rFonts w:ascii="Arial"/>
                              <w:color w:val="FFFFFF"/>
                              <w:sz w:val="16"/>
                            </w:rPr>
                          </w:pPr>
                          <w:r w:rsidRPr="00D90EC4">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D90EC4" w:rsidRDefault="00A9710C">
                    <w:pPr>
                      <w:spacing w:line="269" w:lineRule="exact"/>
                      <w:jc w:val="center"/>
                      <w:rPr>
                        <w:rFonts w:ascii="Impact"/>
                        <w:color w:val="FFFFFF"/>
                        <w:sz w:val="24"/>
                      </w:rPr>
                    </w:pPr>
                    <w:r w:rsidRPr="00D90EC4">
                      <w:rPr>
                        <w:rFonts w:ascii="Impact"/>
                        <w:color w:val="FFFFFF"/>
                        <w:sz w:val="24"/>
                      </w:rPr>
                      <w:t>Fibromyalgia 2016</w:t>
                    </w:r>
                  </w:p>
                  <w:p w:rsidR="00AE3E37" w:rsidRPr="00D90EC4" w:rsidRDefault="00A9710C">
                    <w:pPr>
                      <w:spacing w:before="29"/>
                      <w:jc w:val="center"/>
                      <w:rPr>
                        <w:rFonts w:ascii="Arial"/>
                        <w:color w:val="FFFFFF"/>
                        <w:sz w:val="16"/>
                      </w:rPr>
                    </w:pPr>
                    <w:r w:rsidRPr="00D90EC4">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90EC4" w:rsidRDefault="00A9710C">
                          <w:pPr>
                            <w:spacing w:line="184" w:lineRule="exact"/>
                            <w:ind w:right="18"/>
                            <w:jc w:val="right"/>
                            <w:rPr>
                              <w:rFonts w:ascii="Arial"/>
                              <w:color w:val="FFFFFF"/>
                              <w:sz w:val="16"/>
                            </w:rPr>
                          </w:pPr>
                          <w:r w:rsidRPr="00D90EC4">
                            <w:rPr>
                              <w:rFonts w:ascii="Arial"/>
                              <w:color w:val="FFFFFF"/>
                              <w:sz w:val="16"/>
                            </w:rPr>
                            <w:t>Volume 5, Issue 3(</w:t>
                          </w:r>
                          <w:proofErr w:type="spellStart"/>
                          <w:r w:rsidRPr="00D90EC4">
                            <w:rPr>
                              <w:rFonts w:ascii="Arial"/>
                              <w:color w:val="FFFFFF"/>
                              <w:sz w:val="16"/>
                            </w:rPr>
                            <w:t>Suppl</w:t>
                          </w:r>
                          <w:proofErr w:type="spellEnd"/>
                          <w:r w:rsidRPr="00D90EC4">
                            <w:rPr>
                              <w:rFonts w:ascii="Arial"/>
                              <w:color w:val="FFFFFF"/>
                              <w:sz w:val="16"/>
                            </w:rPr>
                            <w:t>)</w:t>
                          </w:r>
                        </w:p>
                        <w:p w:rsidR="00AE3E37" w:rsidRPr="00D90EC4" w:rsidRDefault="00A9710C">
                          <w:pPr>
                            <w:spacing w:before="116"/>
                            <w:ind w:right="18"/>
                            <w:jc w:val="right"/>
                            <w:rPr>
                              <w:rFonts w:ascii="Minion Pro"/>
                              <w:color w:val="FFFFFF"/>
                              <w:sz w:val="16"/>
                            </w:rPr>
                          </w:pPr>
                          <w:r w:rsidRPr="00D90EC4">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D90EC4" w:rsidRDefault="00A9710C">
                    <w:pPr>
                      <w:spacing w:line="184" w:lineRule="exact"/>
                      <w:ind w:right="18"/>
                      <w:jc w:val="right"/>
                      <w:rPr>
                        <w:rFonts w:ascii="Arial"/>
                        <w:color w:val="FFFFFF"/>
                        <w:sz w:val="16"/>
                      </w:rPr>
                    </w:pPr>
                    <w:r w:rsidRPr="00D90EC4">
                      <w:rPr>
                        <w:rFonts w:ascii="Arial"/>
                        <w:color w:val="FFFFFF"/>
                        <w:sz w:val="16"/>
                      </w:rPr>
                      <w:t>Volume 5, Issue 3(</w:t>
                    </w:r>
                    <w:proofErr w:type="spellStart"/>
                    <w:r w:rsidRPr="00D90EC4">
                      <w:rPr>
                        <w:rFonts w:ascii="Arial"/>
                        <w:color w:val="FFFFFF"/>
                        <w:sz w:val="16"/>
                      </w:rPr>
                      <w:t>Suppl</w:t>
                    </w:r>
                    <w:proofErr w:type="spellEnd"/>
                    <w:r w:rsidRPr="00D90EC4">
                      <w:rPr>
                        <w:rFonts w:ascii="Arial"/>
                        <w:color w:val="FFFFFF"/>
                        <w:sz w:val="16"/>
                      </w:rPr>
                      <w:t>)</w:t>
                    </w:r>
                  </w:p>
                  <w:p w:rsidR="00AE3E37" w:rsidRPr="00D90EC4" w:rsidRDefault="00A9710C">
                    <w:pPr>
                      <w:spacing w:before="116"/>
                      <w:ind w:right="18"/>
                      <w:jc w:val="right"/>
                      <w:rPr>
                        <w:rFonts w:ascii="Minion Pro"/>
                        <w:color w:val="FFFFFF"/>
                        <w:sz w:val="16"/>
                      </w:rPr>
                    </w:pPr>
                    <w:r w:rsidRPr="00D90EC4">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90EC4" w:rsidRDefault="00A9710C">
                          <w:pPr>
                            <w:spacing w:before="2" w:line="249" w:lineRule="auto"/>
                            <w:ind w:left="156" w:right="18" w:hanging="137"/>
                            <w:rPr>
                              <w:rFonts w:ascii="Arial"/>
                              <w:color w:val="FFFFFF"/>
                              <w:sz w:val="14"/>
                            </w:rPr>
                          </w:pPr>
                          <w:r w:rsidRPr="00D90EC4">
                            <w:rPr>
                              <w:rFonts w:ascii="Arial"/>
                              <w:color w:val="FFFFFF"/>
                              <w:sz w:val="14"/>
                            </w:rPr>
                            <w:t xml:space="preserve">T </w:t>
                          </w:r>
                          <w:proofErr w:type="spellStart"/>
                          <w:r w:rsidRPr="00D90EC4">
                            <w:rPr>
                              <w:rFonts w:ascii="Arial"/>
                              <w:color w:val="FFFFFF"/>
                              <w:sz w:val="14"/>
                            </w:rPr>
                            <w:t>Furuta</w:t>
                          </w:r>
                          <w:proofErr w:type="spellEnd"/>
                          <w:r w:rsidRPr="00D90EC4">
                            <w:rPr>
                              <w:rFonts w:ascii="Arial"/>
                              <w:color w:val="FFFFFF"/>
                              <w:sz w:val="14"/>
                            </w:rPr>
                            <w:t xml:space="preserve"> et al., J </w:t>
                          </w:r>
                          <w:proofErr w:type="spellStart"/>
                          <w:r w:rsidRPr="00D90EC4">
                            <w:rPr>
                              <w:rFonts w:ascii="Arial"/>
                              <w:color w:val="FFFFFF"/>
                              <w:sz w:val="14"/>
                            </w:rPr>
                            <w:t>Pai</w:t>
                          </w:r>
                          <w:proofErr w:type="spellEnd"/>
                          <w:r w:rsidRPr="00D90EC4">
                            <w:rPr>
                              <w:rFonts w:ascii="Arial"/>
                              <w:color w:val="FFFFFF"/>
                              <w:sz w:val="14"/>
                            </w:rPr>
                            <w:t xml:space="preserve"> n Relief 2016, 5:3(</w:t>
                          </w:r>
                          <w:proofErr w:type="spellStart"/>
                          <w:r w:rsidRPr="00D90EC4">
                            <w:rPr>
                              <w:rFonts w:ascii="Arial"/>
                              <w:color w:val="FFFFFF"/>
                              <w:sz w:val="14"/>
                            </w:rPr>
                            <w:t>Suppl</w:t>
                          </w:r>
                          <w:proofErr w:type="spellEnd"/>
                          <w:r w:rsidRPr="00D90EC4">
                            <w:rPr>
                              <w:rFonts w:ascii="Arial"/>
                              <w:color w:val="FFFFFF"/>
                              <w:sz w:val="14"/>
                            </w:rPr>
                            <w:t xml:space="preserve">) </w:t>
                          </w:r>
                          <w:hyperlink r:id="rId1">
                            <w:r w:rsidRPr="00D90EC4">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90EC4" w:rsidRDefault="00A9710C">
                    <w:pPr>
                      <w:spacing w:before="2" w:line="249" w:lineRule="auto"/>
                      <w:ind w:left="156" w:right="18" w:hanging="137"/>
                      <w:rPr>
                        <w:rFonts w:ascii="Arial"/>
                        <w:color w:val="FFFFFF"/>
                        <w:sz w:val="14"/>
                      </w:rPr>
                    </w:pPr>
                    <w:r w:rsidRPr="00D90EC4">
                      <w:rPr>
                        <w:rFonts w:ascii="Arial"/>
                        <w:color w:val="FFFFFF"/>
                        <w:sz w:val="14"/>
                      </w:rPr>
                      <w:t xml:space="preserve">T </w:t>
                    </w:r>
                    <w:proofErr w:type="spellStart"/>
                    <w:r w:rsidRPr="00D90EC4">
                      <w:rPr>
                        <w:rFonts w:ascii="Arial"/>
                        <w:color w:val="FFFFFF"/>
                        <w:sz w:val="14"/>
                      </w:rPr>
                      <w:t>Furuta</w:t>
                    </w:r>
                    <w:proofErr w:type="spellEnd"/>
                    <w:r w:rsidRPr="00D90EC4">
                      <w:rPr>
                        <w:rFonts w:ascii="Arial"/>
                        <w:color w:val="FFFFFF"/>
                        <w:sz w:val="14"/>
                      </w:rPr>
                      <w:t xml:space="preserve"> et al., J </w:t>
                    </w:r>
                    <w:proofErr w:type="spellStart"/>
                    <w:r w:rsidRPr="00D90EC4">
                      <w:rPr>
                        <w:rFonts w:ascii="Arial"/>
                        <w:color w:val="FFFFFF"/>
                        <w:sz w:val="14"/>
                      </w:rPr>
                      <w:t>Pai</w:t>
                    </w:r>
                    <w:proofErr w:type="spellEnd"/>
                    <w:r w:rsidRPr="00D90EC4">
                      <w:rPr>
                        <w:rFonts w:ascii="Arial"/>
                        <w:color w:val="FFFFFF"/>
                        <w:sz w:val="14"/>
                      </w:rPr>
                      <w:t xml:space="preserve"> n Relief 2016, 5:3(</w:t>
                    </w:r>
                    <w:proofErr w:type="spellStart"/>
                    <w:r w:rsidRPr="00D90EC4">
                      <w:rPr>
                        <w:rFonts w:ascii="Arial"/>
                        <w:color w:val="FFFFFF"/>
                        <w:sz w:val="14"/>
                      </w:rPr>
                      <w:t>Suppl</w:t>
                    </w:r>
                    <w:proofErr w:type="spellEnd"/>
                    <w:r w:rsidRPr="00D90EC4">
                      <w:rPr>
                        <w:rFonts w:ascii="Arial"/>
                        <w:color w:val="FFFFFF"/>
                        <w:sz w:val="14"/>
                      </w:rPr>
                      <w:t xml:space="preserve">) </w:t>
                    </w:r>
                    <w:hyperlink r:id="rId2">
                      <w:r w:rsidRPr="00D90EC4">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90EC4" w:rsidRDefault="00A9710C">
                          <w:pPr>
                            <w:pStyle w:val="BodyText"/>
                            <w:spacing w:line="187" w:lineRule="exact"/>
                            <w:ind w:left="20" w:right="-10"/>
                            <w:rPr>
                              <w:rFonts w:ascii="Myriad Pro"/>
                              <w:color w:val="FFFFFF"/>
                            </w:rPr>
                          </w:pPr>
                          <w:r w:rsidRPr="00D90EC4">
                            <w:rPr>
                              <w:rFonts w:ascii="Myriad Pro"/>
                              <w:color w:val="FFFFFF"/>
                            </w:rPr>
                            <w:t>International Conference on</w:t>
                          </w:r>
                        </w:p>
                        <w:p w:rsidR="00AE3E37" w:rsidRPr="00D90EC4" w:rsidRDefault="00A9710C">
                          <w:pPr>
                            <w:spacing w:line="614" w:lineRule="exact"/>
                            <w:ind w:left="20" w:right="-10"/>
                            <w:rPr>
                              <w:rFonts w:ascii="Minion Pro"/>
                              <w:color w:val="FFFFFF"/>
                              <w:sz w:val="24"/>
                            </w:rPr>
                          </w:pPr>
                          <w:r w:rsidRPr="00D90EC4">
                            <w:rPr>
                              <w:rFonts w:ascii="Impact"/>
                              <w:color w:val="FFFFFF"/>
                              <w:sz w:val="52"/>
                            </w:rPr>
                            <w:t xml:space="preserve">Fibromyalgia and Chronic Pain </w:t>
                          </w:r>
                          <w:r w:rsidRPr="00D90EC4">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D90EC4" w:rsidRDefault="00A9710C">
                    <w:pPr>
                      <w:pStyle w:val="BodyText"/>
                      <w:spacing w:line="187" w:lineRule="exact"/>
                      <w:ind w:left="20" w:right="-10"/>
                      <w:rPr>
                        <w:rFonts w:ascii="Myriad Pro"/>
                        <w:color w:val="FFFFFF"/>
                      </w:rPr>
                    </w:pPr>
                    <w:r w:rsidRPr="00D90EC4">
                      <w:rPr>
                        <w:rFonts w:ascii="Myriad Pro"/>
                        <w:color w:val="FFFFFF"/>
                      </w:rPr>
                      <w:t>International Conference on</w:t>
                    </w:r>
                  </w:p>
                  <w:p w:rsidR="00AE3E37" w:rsidRPr="00D90EC4" w:rsidRDefault="00A9710C">
                    <w:pPr>
                      <w:spacing w:line="614" w:lineRule="exact"/>
                      <w:ind w:left="20" w:right="-10"/>
                      <w:rPr>
                        <w:rFonts w:ascii="Minion Pro"/>
                        <w:color w:val="FFFFFF"/>
                        <w:sz w:val="24"/>
                      </w:rPr>
                    </w:pPr>
                    <w:r w:rsidRPr="00D90EC4">
                      <w:rPr>
                        <w:rFonts w:ascii="Impact"/>
                        <w:color w:val="FFFFFF"/>
                        <w:sz w:val="52"/>
                      </w:rPr>
                      <w:t xml:space="preserve">Fibromyalgia and Chronic Pain </w:t>
                    </w:r>
                    <w:r w:rsidRPr="00D90EC4">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21EC"/>
    <w:rsid w:val="000E2911"/>
    <w:rsid w:val="001263DF"/>
    <w:rsid w:val="00292ED9"/>
    <w:rsid w:val="00404E5B"/>
    <w:rsid w:val="00414F7B"/>
    <w:rsid w:val="004355DC"/>
    <w:rsid w:val="00442A0E"/>
    <w:rsid w:val="004749B4"/>
    <w:rsid w:val="00494130"/>
    <w:rsid w:val="004F3523"/>
    <w:rsid w:val="005973B9"/>
    <w:rsid w:val="005B3A56"/>
    <w:rsid w:val="006060CE"/>
    <w:rsid w:val="0063497F"/>
    <w:rsid w:val="0070085C"/>
    <w:rsid w:val="00873DF0"/>
    <w:rsid w:val="008756E6"/>
    <w:rsid w:val="009B2D44"/>
    <w:rsid w:val="00A07E82"/>
    <w:rsid w:val="00A45B4D"/>
    <w:rsid w:val="00A849A5"/>
    <w:rsid w:val="00A9710C"/>
    <w:rsid w:val="00AE3E37"/>
    <w:rsid w:val="00B21A57"/>
    <w:rsid w:val="00C33602"/>
    <w:rsid w:val="00CD6F55"/>
    <w:rsid w:val="00D90EC4"/>
    <w:rsid w:val="00DE3104"/>
    <w:rsid w:val="00DE313F"/>
    <w:rsid w:val="00E7362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F36EA2"/>
  <w15:docId w15:val="{AF42BB39-9AEC-43D4-AC65-69CFAEE8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3691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98896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5719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King, Nacole B. (Fed)</cp:lastModifiedBy>
  <cp:revision>8</cp:revision>
  <dcterms:created xsi:type="dcterms:W3CDTF">2017-07-06T16:18:00Z</dcterms:created>
  <dcterms:modified xsi:type="dcterms:W3CDTF">2017-07-06T16:33:00Z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