
<file path=[Content_Types].xml><?xml version="1.0" encoding="utf-8"?>
<Types xmlns="http://schemas.openxmlformats.org/package/2006/content-types">
  <Override PartName="/word/media/image4.emf" ContentType="image/x-emf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sectPr>
          <w:formProt w:val="off"/>
          <w:pgSz w:h="16837" w:w="11905"/>
          <w:textDirection w:val="lrTb"/>
          <w:type w:val="continuous"/>
          <w:pgMar w:bottom="1134" w:left="1134" w:right="1134" w:top="1134"/>
        </w:sectPr>
      </w:pPr>
    </w:p>
    <w:p>
      <w:pPr>
        <w:pStyle w:val="style0"/>
        <w:ind w:hanging="0" w:left="0" w:right="0"/>
        <w:spacing w:after="0" w:before="170"/>
      </w:pP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 xml:space="preserve">Role of </w:t>
      </w:r>
      <w:r>
        <w:rPr>
          <w:color w:val="0000FF"/>
          <w:sz w:val="24"/>
          <w:i/>
          <w:b/>
          <w:szCs w:val="24"/>
          <w:iCs/>
          <w:bCs/>
          <w:rFonts w:ascii="Times New Roman" w:cs="Times New Roman" w:eastAsia="Batang" w:hAnsi="Times New Roman"/>
          <w:lang w:val="en-GB"/>
        </w:rPr>
        <w:t>p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 xml:space="preserve">-element sublattice in magnetic ordering of ZrNiAl-type </w:t>
      </w:r>
      <w:r>
        <w:rPr>
          <w:color w:val="0000FF"/>
          <w:sz w:val="24"/>
          <w:i/>
          <w:b/>
          <w:szCs w:val="24"/>
          <w:iCs/>
          <w:bCs/>
          <w:rFonts w:ascii="Times New Roman" w:cs="Times New Roman" w:eastAsia="Batang" w:hAnsi="Times New Roman"/>
          <w:lang w:val="en-GB"/>
        </w:rPr>
        <w:t>R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Mn{Si, Ge}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0.33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Ga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0.67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 xml:space="preserve"> and </w:t>
      </w:r>
      <w:r>
        <w:rPr>
          <w:color w:val="0000FF"/>
          <w:sz w:val="24"/>
          <w:i/>
          <w:b/>
          <w:szCs w:val="24"/>
          <w:iCs/>
          <w:bCs/>
          <w:rFonts w:ascii="Times New Roman" w:cs="Times New Roman" w:eastAsia="Batang" w:hAnsi="Times New Roman"/>
          <w:lang w:val="en-GB"/>
        </w:rPr>
        <w:t>R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MnGe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0.5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Ga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>0.5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 xml:space="preserve"> (</w:t>
      </w:r>
      <w:r>
        <w:rPr>
          <w:color w:val="0000FF"/>
          <w:sz w:val="24"/>
          <w:i/>
          <w:b/>
          <w:szCs w:val="24"/>
          <w:iCs/>
          <w:bCs/>
          <w:rFonts w:ascii="Times New Roman" w:cs="Times New Roman" w:eastAsia="Batang" w:hAnsi="Times New Roman"/>
          <w:lang w:val="en-GB"/>
        </w:rPr>
        <w:t>R</w:t>
      </w:r>
      <w:r>
        <w:rPr>
          <w:color w:val="0000FF"/>
          <w:sz w:val="24"/>
          <w:b/>
          <w:szCs w:val="24"/>
          <w:bCs/>
          <w:rFonts w:ascii="Times New Roman" w:cs="Times New Roman" w:eastAsia="Batang" w:hAnsi="Times New Roman"/>
          <w:lang w:val="en-GB"/>
        </w:rPr>
        <w:t xml:space="preserve"> = Tb and Dy) compounds</w:t>
      </w:r>
    </w:p>
    <w:p>
      <w:pPr>
        <w:sectPr>
          <w:formProt w:val="off"/>
          <w:pgSz w:h="16837" w:w="11905"/>
          <w:textDirection w:val="lrTb"/>
          <w:type w:val="continuous"/>
          <w:pgMar w:bottom="1134" w:left="1134" w:right="1134" w:top="1134"/>
        </w:sectPr>
      </w:pPr>
    </w:p>
    <w:p>
      <w:pPr>
        <w:pStyle w:val="style0"/>
        <w:ind w:hanging="0" w:left="100" w:right="190"/>
        <w:spacing w:after="0" w:before="73" w:line="200" w:lineRule="atLeast"/>
      </w:pP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A. V. Morozkin 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GB"/>
        </w:rPr>
        <w:t>a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>*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>, O. Isnard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 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GB"/>
        </w:rPr>
        <w:t>b,c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, A.K. Nigam 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US"/>
        </w:rPr>
        <w:t>d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, 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US"/>
        </w:rPr>
        <w:t xml:space="preserve">R. Nirmala 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US"/>
        </w:rPr>
        <w:t>d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US"/>
        </w:rPr>
        <w:t xml:space="preserve">, </w:t>
      </w:r>
      <w:r>
        <w:rPr>
          <w:color w:val="000000"/>
          <w:sz w:val="24"/>
          <w:b/>
          <w:szCs w:val="24"/>
          <w:bCs/>
          <w:rFonts w:ascii="Times New Roman" w:hAnsi="Times New Roman"/>
          <w:lang w:val="pt-BR"/>
        </w:rPr>
        <w:t>S. Quezado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GB"/>
        </w:rPr>
        <w:t xml:space="preserve"> e</w:t>
      </w:r>
      <w:r>
        <w:rPr>
          <w:color w:val="000000"/>
          <w:sz w:val="24"/>
          <w:b/>
          <w:szCs w:val="24"/>
          <w:bCs/>
          <w:rFonts w:ascii="Times New Roman" w:hAnsi="Times New Roman"/>
          <w:lang w:val="pt-BR"/>
        </w:rPr>
        <w:t>,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 S.K.Malik </w:t>
      </w:r>
      <w:r>
        <w:rPr>
          <w:color w:val="000000"/>
          <w:sz w:val="24"/>
          <w:i/>
          <w:b/>
          <w:szCs w:val="24"/>
          <w:iCs/>
          <w:bCs/>
          <w:rFonts w:ascii="Times New Roman" w:hAnsi="Times New Roman"/>
          <w:lang w:val="en-GB"/>
        </w:rPr>
        <w:t>e</w:t>
      </w:r>
      <w:r>
        <w:rPr>
          <w:color w:val="000000"/>
          <w:sz w:val="24"/>
          <w:b/>
          <w:szCs w:val="24"/>
          <w:bCs/>
          <w:rFonts w:ascii="Times New Roman" w:hAnsi="Times New Roman"/>
          <w:lang w:val="en-GB"/>
        </w:rPr>
        <w:t xml:space="preserve"> 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</w:t>
      </w:r>
      <w:r>
        <w:rPr>
          <w:sz w:val="22"/>
          <w:i/>
          <w:szCs w:val="22"/>
          <w:iCs/>
          <w:rFonts w:ascii="Times New Roman" w:hAnsi="Times New Roman"/>
          <w:lang w:val="en-GB"/>
        </w:rPr>
        <w:t xml:space="preserve"> Department of Chemistry, Moscow State University, Leninskie Gory, House 1, Building 3, Moscow, GSP-2, 119992, Russia</w:t>
      </w:r>
    </w:p>
    <w:p>
      <w:pPr>
        <w:pStyle w:val="style0"/>
        <w:autoSpaceDE w:val="false"/>
        <w:spacing w:line="200" w:lineRule="atLeast"/>
      </w:pPr>
      <w:r>
        <w:rPr>
          <w:sz w:val="22"/>
          <w:i/>
          <w:szCs w:val="22"/>
          <w:iCs/>
          <w:rFonts w:ascii="Times New Roman" w:hAnsi="Times New Roman"/>
          <w:lang w:val="fr-FR"/>
        </w:rPr>
        <w:t xml:space="preserve">b </w:t>
      </w:r>
      <w:r>
        <w:rPr>
          <w:sz w:val="22"/>
          <w:i/>
          <w:szCs w:val="22"/>
          <w:iCs/>
          <w:rFonts w:ascii="Times New Roman" w:cs="Times New Roman" w:eastAsia="Times New Roman" w:hAnsi="Times New Roman"/>
          <w:lang w:val="fr-FR"/>
        </w:rPr>
        <w:t>CNRS, Insitut. Néel, 25 rue des Martyrs BP166 x F-38042 Grenoble, France</w:t>
      </w:r>
    </w:p>
    <w:p>
      <w:pPr>
        <w:pStyle w:val="style0"/>
        <w:autoSpaceDE w:val="false"/>
        <w:spacing w:line="200" w:lineRule="atLeast"/>
      </w:pPr>
      <w:r>
        <w:rPr>
          <w:sz w:val="22"/>
          <w:i/>
          <w:szCs w:val="22"/>
          <w:iCs/>
          <w:rFonts w:ascii="Times New Roman" w:hAnsi="Times New Roman"/>
          <w:lang w:val="fr-FR"/>
        </w:rPr>
        <w:t xml:space="preserve">c </w:t>
      </w:r>
      <w:r>
        <w:rPr>
          <w:sz w:val="22"/>
          <w:i/>
          <w:szCs w:val="22"/>
          <w:iCs/>
          <w:rFonts w:ascii="Times New Roman" w:cs="Times New Roman" w:eastAsia="Times New Roman" w:hAnsi="Times New Roman"/>
          <w:lang w:val="fr-FR"/>
        </w:rPr>
        <w:t>Université Grenoble Alpes, Inst. Néel, F-38042 Grenoble, France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22"/>
          <w:i/>
          <w:szCs w:val="22"/>
          <w:iCs/>
          <w:rFonts w:ascii="Times New Roman" w:hAnsi="Times New Roman"/>
          <w:lang w:val="en-US"/>
        </w:rPr>
        <w:t>d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US"/>
        </w:rPr>
        <w:t xml:space="preserve"> Indian Institute of Technology Madras, Chennai 600 036, India</w:t>
      </w:r>
    </w:p>
    <w:p>
      <w:pPr>
        <w:pStyle w:val="style0"/>
        <w:jc w:val="both"/>
        <w:autoSpaceDE w:val="false"/>
        <w:spacing w:line="200" w:lineRule="atLeast"/>
      </w:pPr>
      <w:r>
        <w:rPr>
          <w:sz w:val="22"/>
          <w:i/>
          <w:szCs w:val="22"/>
          <w:iCs/>
          <w:rFonts w:ascii="Times New Roman" w:hAnsi="Times New Roman"/>
          <w:lang w:val="pt-BR"/>
        </w:rPr>
        <w:t xml:space="preserve">e </w:t>
      </w:r>
      <w:r>
        <w:rPr>
          <w:color w:val="000000"/>
          <w:sz w:val="22"/>
          <w:i/>
          <w:szCs w:val="22"/>
          <w:iCs/>
          <w:rFonts w:ascii="Times New Roman" w:cs="Times New Roman" w:eastAsia="Times New Roman" w:hAnsi="Times New Roman"/>
          <w:lang w:val="pt-BR"/>
        </w:rPr>
        <w:t xml:space="preserve">Departamento de Física Teórica e Experimental, Universidade Federal do Rio Grande do Norte, Natal,59082-970, Brazil 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22"/>
          <w:i/>
          <w:szCs w:val="22"/>
          <w:iCs/>
          <w:rFonts w:ascii="Times New Roman" w:hAnsi="Times New Roman"/>
          <w:lang w:val="en-US"/>
        </w:rPr>
        <w:t>*</w:t>
      </w:r>
      <w:r>
        <w:rPr>
          <w:color w:val="000000"/>
          <w:sz w:val="22"/>
          <w:szCs w:val="22"/>
          <w:rFonts w:ascii="Times New Roman" w:hAnsi="Times New Roman"/>
          <w:lang w:val="en-US"/>
        </w:rPr>
        <w:t>Corresponding author: A.V.Morozkin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US"/>
        </w:rPr>
        <w:t xml:space="preserve">, E-mail: morozkin@tech.chem.msu.ru </w:t>
      </w:r>
    </w:p>
    <w:p>
      <w:pPr>
        <w:sectPr>
          <w:formProt w:val="off"/>
          <w:pgSz w:h="16837" w:w="11905"/>
          <w:textDirection w:val="lrTb"/>
          <w:type w:val="continuous"/>
          <w:pgMar w:bottom="1134" w:left="1134" w:right="1134" w:top="1134"/>
        </w:sectPr>
      </w:pPr>
    </w:p>
    <w:p>
      <w:pPr>
        <w:pStyle w:val="style3"/>
        <w:numPr>
          <w:ilvl w:val="2"/>
          <w:numId w:val="2"/>
        </w:numPr>
        <w:jc w:val="both"/>
        <w:ind w:hanging="0" w:left="100" w:right="0"/>
        <w:spacing w:after="0" w:before="147"/>
      </w:pPr>
      <w:r>
        <w:rPr>
          <w:color w:val="BF5A14"/>
        </w:rPr>
        <w:t>Abstract</w:t>
      </w:r>
    </w:p>
    <w:p>
      <w:pPr>
        <w:pStyle w:val="style0"/>
        <w:jc w:val="both"/>
        <w:ind w:hanging="0" w:left="100" w:right="0"/>
        <w:spacing w:after="0" w:before="90" w:line="200" w:lineRule="atLeast"/>
      </w:pP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Specific features of </w:t>
      </w:r>
      <w:r>
        <w:rPr>
          <w:color w:val="000000"/>
          <w:sz w:val="22"/>
          <w:i/>
          <w:szCs w:val="22"/>
          <w:iCs/>
          <w:rFonts w:ascii="Times New Roman" w:cs="Times New Roman" w:eastAsia="Batang" w:hAnsi="Times New Roman"/>
          <w:lang w:val="en-US"/>
        </w:rPr>
        <w:t>p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-element sublattice have been studied for ZrNiAl-type {Tb, Dy}MnGe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0.33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Ga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0.67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 and {Tb, Dy}MnGe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0.5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Ga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0.5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 compounds (space group </w:t>
      </w:r>
      <w:r>
        <w:rPr>
          <w:color w:val="000000"/>
          <w:sz w:val="22"/>
          <w:i/>
          <w:szCs w:val="22"/>
          <w:iCs/>
          <w:rFonts w:ascii="Times New Roman" w:cs="Times New Roman" w:eastAsia="Batang" w:hAnsi="Times New Roman"/>
          <w:lang w:val="en-US"/>
        </w:rPr>
        <w:t>P</w:t>
      </w:r>
      <w:r>
        <w:rPr>
          <w:color w:val="000000"/>
          <w:sz w:val="22"/>
          <w:i w:val="off"/>
          <w:szCs w:val="22"/>
          <w:iCs w:val="off"/>
          <w:rFonts w:ascii="Times New Roman" w:cs="Times New Roman" w:eastAsia="Batang" w:hAnsi="Times New Roman"/>
          <w:lang w:val="en-US"/>
        </w:rPr>
        <w:t>-6</w:t>
      </w:r>
      <w:r>
        <w:rPr>
          <w:color w:val="000000"/>
          <w:sz w:val="22"/>
          <w:i/>
          <w:szCs w:val="22"/>
          <w:iCs/>
          <w:rFonts w:ascii="Times New Roman" w:cs="Times New Roman" w:eastAsia="Batang" w:hAnsi="Times New Roman"/>
          <w:lang w:val="en-US"/>
        </w:rPr>
        <w:t>2m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, No.189) by magnetization and neutron diffraction experiments. {Tb, Dy}MnGe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0.33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Ga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0.67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 and {Tb, Dy}MnGe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0.5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Ga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>0.5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 compounds exhibit antiferromagnetic ordering  in wide temperature interval with antiferromagnetic behaviour of field dependent magnetization at 5 K. </w:t>
      </w:r>
    </w:p>
    <w:p>
      <w:pPr>
        <w:pStyle w:val="style0"/>
        <w:jc w:val="both"/>
        <w:autoSpaceDE w:val="false"/>
        <w:ind w:firstLine="360" w:left="0" w:right="0"/>
        <w:spacing w:line="200" w:lineRule="atLeast"/>
      </w:pP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Neutron data 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obtained between ~250 K to 1.7 K</w:t>
      </w:r>
      <w:r>
        <w:rPr>
          <w:color w:val="000000"/>
          <w:sz w:val="22"/>
          <w:szCs w:val="22"/>
          <w:rFonts w:ascii="Times New Roman" w:cs="Times New Roman" w:eastAsia="Batang" w:hAnsi="Times New Roman"/>
          <w:lang w:val="en-US"/>
        </w:rPr>
        <w:t xml:space="preserve"> in zero applied field show 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the evolution of magnetic structure of TbMnGe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0.33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Ga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0.67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: 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ab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-plane square modulated antiferromagnet with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</w:t>
      </w:r>
      <w:r>
        <w:rPr>
          <w:color w:val="000000"/>
          <w:sz w:val="22"/>
          <w:szCs w:val="22"/>
          <w:lang w:val="en-GB"/>
        </w:rPr>
        <w:t>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1/3,</w:t>
      </w:r>
      <w:r>
        <w:rPr>
          <w:color w:val="000000"/>
          <w:sz w:val="22"/>
          <w:szCs w:val="22"/>
          <w:lang w:val="en-GB"/>
        </w:rPr>
        <w:t xml:space="preserve">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1/3, 0] propagation vector from ~250 K to ~ 150 K, a square modulated 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abc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-antiferromagnet with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1/3,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1/3, 0] and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2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0] vectors between ~150 K and ~96 K and a sine modulated 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abc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-antiferromagnet with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1/3,</w:t>
      </w:r>
      <w:r>
        <w:rPr>
          <w:color w:val="000000"/>
          <w:sz w:val="22"/>
          <w:szCs w:val="22"/>
          <w:lang w:val="en-GB"/>
        </w:rPr>
        <w:t xml:space="preserve">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1/3, 0],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2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1/4</w:t>
      </w:r>
      <w:r>
        <w:rPr>
          <w:color w:val="000000"/>
          <w:sz w:val="22"/>
          <w:szCs w:val="22"/>
          <w:lang w:val="en-GB"/>
        </w:rPr>
        <w:t xml:space="preserve">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0] and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3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[1/2, 1/2, 0] vectors below 96 K and down to 1.7 K. </w:t>
      </w:r>
    </w:p>
    <w:p>
      <w:pPr>
        <w:pStyle w:val="style0"/>
        <w:jc w:val="both"/>
        <w:autoSpaceDE w:val="false"/>
        <w:ind w:firstLine="360" w:left="0" w:right="0"/>
        <w:spacing w:line="200" w:lineRule="atLeast"/>
      </w:pPr>
      <w:r>
        <w:rPr>
          <w:color w:val="000000"/>
          <w:sz w:val="22"/>
          <w:szCs w:val="22"/>
          <w:rFonts w:ascii="Times New Roman" w:hAnsi="Times New Roman"/>
          <w:lang w:val="en-GB"/>
        </w:rPr>
        <w:t>Similar to TbMnGe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0.33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Ga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0.67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, the magnetic structure of TbMnGe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0.5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Ga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0.5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is a sine modulated 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abc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-antiferromagnet with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sz w:val="22"/>
          <w:szCs w:val="22"/>
          <w:rFonts w:ascii="Times New Roman" w:hAnsi="Times New Roman"/>
          <w:lang w:val="en-US"/>
        </w:rPr>
        <w:t xml:space="preserve">0.3235(5),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sz w:val="22"/>
          <w:szCs w:val="22"/>
          <w:rFonts w:ascii="Times New Roman" w:hAnsi="Times New Roman"/>
          <w:lang w:val="en-US"/>
        </w:rPr>
        <w:t>0.3235(5), 0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] and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2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0] propagation vectors from 160 K to 120 K, whereas it exhibits sine modulated </w:t>
      </w:r>
      <w:r>
        <w:rPr>
          <w:color w:val="000000"/>
          <w:sz w:val="22"/>
          <w:i/>
          <w:szCs w:val="22"/>
          <w:iCs/>
          <w:rFonts w:ascii="Times New Roman" w:hAnsi="Times New Roman"/>
          <w:lang w:val="en-GB"/>
        </w:rPr>
        <w:t>abc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-antiferromagnetic ordering with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sz w:val="22"/>
          <w:szCs w:val="22"/>
          <w:rFonts w:ascii="Times New Roman" w:hAnsi="Times New Roman"/>
          <w:lang w:val="en-US"/>
        </w:rPr>
        <w:t xml:space="preserve">0.3231(2),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sz w:val="22"/>
          <w:szCs w:val="22"/>
          <w:rFonts w:ascii="Times New Roman" w:hAnsi="Times New Roman"/>
          <w:lang w:val="en-US"/>
        </w:rPr>
        <w:t>0.3231(2), 0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],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2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1/4,</w:t>
      </w:r>
      <w:r>
        <w:rPr>
          <w:color w:val="000000"/>
          <w:sz w:val="22"/>
          <w:szCs w:val="22"/>
          <w:lang w:val="en-GB"/>
        </w:rPr>
        <w:t xml:space="preserve"> </w:t>
      </w:r>
      <w:r>
        <w:rPr>
          <w:color w:val="000000"/>
          <w:sz w:val="22"/>
          <w:szCs w:val="22"/>
          <w:rFonts w:ascii="Symbol" w:hAnsi="Symbol"/>
          <w:lang w:val="en-GB"/>
        </w:rPr>
        <w:t>±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1/4, 0] and </w:t>
      </w:r>
      <w:r>
        <w:rPr>
          <w:color w:val="000000"/>
          <w:sz w:val="22"/>
          <w:b/>
          <w:szCs w:val="22"/>
          <w:bCs/>
          <w:rFonts w:ascii="Times New Roman" w:hAnsi="Times New Roman"/>
          <w:lang w:val="en-GB"/>
        </w:rPr>
        <w:t>K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>3</w:t>
      </w:r>
      <w:r>
        <w:rPr>
          <w:color w:val="000000"/>
          <w:sz w:val="22"/>
          <w:szCs w:val="22"/>
          <w:rFonts w:ascii="Times New Roman" w:hAnsi="Times New Roman"/>
          <w:lang w:val="en-GB"/>
        </w:rPr>
        <w:t xml:space="preserve"> = [1/2, 1/2, 0] vectors from 120 K to 2 K.</w:t>
      </w:r>
      <w:r>
        <w:rPr>
          <w:color w:val="000000"/>
          <w:sz w:val="22"/>
          <w:szCs w:val="22"/>
          <w:lang w:val="en-GB"/>
        </w:rPr>
        <w:t xml:space="preserve"> </w:t>
      </w:r>
    </w:p>
    <w:p>
      <w:pPr>
        <w:pStyle w:val="style0"/>
        <w:jc w:val="both"/>
        <w:autoSpaceDE w:val="false"/>
        <w:ind w:firstLine="360" w:left="0" w:right="0"/>
        <w:spacing w:line="200" w:lineRule="atLeast"/>
      </w:pPr>
      <w:r>
        <w:rPr>
          <w:sz w:val="22"/>
          <w:szCs w:val="22"/>
          <w:lang w:val="ru-RU"/>
        </w:rPr>
      </w:r>
    </w:p>
    <w:p>
      <w:pPr>
        <w:pStyle w:val="style0"/>
        <w:jc w:val="both"/>
        <w:autoSpaceDE w:val="false"/>
        <w:ind w:firstLine="360" w:left="0" w:right="0"/>
        <w:spacing w:line="200" w:lineRule="atLeast"/>
      </w:pPr>
      <w:r>
        <w:rPr>
          <w:sz w:val="22"/>
          <w:szCs w:val="22"/>
          <w:lang w:val="ru-RU"/>
        </w:rPr>
      </w:r>
    </w:p>
    <w:p>
      <w:pPr>
        <w:pStyle w:val="style3"/>
        <w:numPr>
          <w:ilvl w:val="2"/>
          <w:numId w:val="2"/>
        </w:numPr>
        <w:ind w:hanging="0" w:left="100" w:right="0"/>
        <w:spacing w:after="0" w:before="74"/>
      </w:pPr>
      <w:r>
        <w:rPr>
          <w:color w:val="BF5A14"/>
        </w:rPr>
        <w:t>Image</w:t>
      </w:r>
    </w:p>
    <w:p>
      <w:pPr>
        <w:pStyle w:val="style24"/>
        <w:spacing w:after="0" w:before="2"/>
      </w:pPr>
      <w:r>
        <w:rPr/>
        <w:drawing>
          <wp:inline distB="0" distL="0" distR="0" distT="0">
            <wp:extent cx="3051810" cy="1953260"/>
            <wp:effectExtent b="0" l="0" r="0" t="0"/>
            <wp:docPr descr="A description..."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A description...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195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="204" w:lineRule="exact"/>
      </w:pPr>
      <w:r>
        <w:rPr>
          <w:color w:val="BF5A14"/>
          <w:sz w:val="20"/>
          <w:b/>
          <w:rFonts w:ascii="Arial" w:hAnsi="Arial"/>
        </w:rPr>
        <w:br/>
        <w:t xml:space="preserve">Recent Publications </w:t>
      </w:r>
    </w:p>
    <w:p>
      <w:pPr>
        <w:pStyle w:val="style0"/>
        <w:numPr>
          <w:ilvl w:val="0"/>
          <w:numId w:val="3"/>
        </w:numPr>
        <w:tabs>
          <w:tab w:leader="none" w:pos="384" w:val="left"/>
          <w:tab w:leader="none" w:pos="709" w:val="left"/>
        </w:tabs>
        <w:ind w:hanging="283" w:left="0" w:right="138"/>
        <w:spacing w:after="0" w:before="103" w:line="200" w:lineRule="atLeast"/>
      </w:pP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A.V.Morozkin, New ZrNiAl-type </w:t>
      </w:r>
      <w:r>
        <w:rPr>
          <w:color w:val="000000"/>
          <w:sz w:val="18"/>
          <w:szCs w:val="18"/>
          <w:rFonts w:ascii="Times New Roman" w:hAnsi="Times New Roman"/>
          <w:lang w:val="en-US"/>
        </w:rPr>
        <w:t>RmnGe0,5Ga0,5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 compounds (R = Sc, Y, Lu, Sm, Gd-Ho, Tm), J.Alloys Compd., 352 (2003) L1-L2. doi:10.1016/S0925-8388(02)01129-5.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A.V.Morozkin, New </w:t>
      </w:r>
      <w:r>
        <w:rPr>
          <w:color w:val="000000"/>
          <w:sz w:val="18"/>
          <w:szCs w:val="18"/>
          <w:rFonts w:ascii="Times New Roman" w:hAnsi="Times New Roman"/>
          <w:lang w:val="en-US"/>
        </w:rPr>
        <w:t>R3Mn3Ga</w:t>
      </w:r>
      <w:r>
        <w:rPr>
          <w:color w:val="000000"/>
          <w:sz w:val="18"/>
          <w:szCs w:val="18"/>
          <w:rFonts w:ascii="Times New Roman" w:hAnsi="Times New Roman"/>
          <w:lang w:val="en-US"/>
        </w:rPr>
        <w:t>Si2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 compounds (R = Tb-Tm, Lu), J.Alloys Compd., 363 (2004) L1-L2. doi:10.1016/S0925-8388(03)00466-3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18"/>
          <w:szCs w:val="18"/>
          <w:rFonts w:ascii="Times New Roman" w:hAnsi="Times New Roman"/>
          <w:lang w:val="en-GB"/>
        </w:rPr>
        <w:t xml:space="preserve">A.V. Morozkin, R.Welter, 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>T.I.Ivanova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>,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 xml:space="preserve"> 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>M.V.Makarova and O.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>L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>.Makarova, Magnetic structure of the Zr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>NiAl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>-type Dy3Mn3SiGa2</w:t>
      </w:r>
      <w:r>
        <w:rPr>
          <w:color w:val="000000"/>
          <w:sz w:val="18"/>
          <w:szCs w:val="18"/>
          <w:rFonts w:ascii="Times New Roman" w:hAnsi="Times New Roman"/>
          <w:lang w:val="en-GB"/>
        </w:rPr>
        <w:t xml:space="preserve"> compound, J.Alloys Compd., 415 (2006) 23-25.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A.V. Morozkin, R. Nirmala, J. Arout Chelvane, A.K. Nigam, Magnetic properties of ZrNiAl-type R3Mn3GeGa2 compounds (R = Y, Gd, Tb, Dy, Ho and Er), Journal of Alloys and Compounds </w:t>
      </w:r>
      <w:r>
        <w:rPr>
          <w:color w:val="000000"/>
          <w:sz w:val="18"/>
          <w:b/>
          <w:szCs w:val="18"/>
          <w:bCs/>
          <w:rFonts w:ascii="Times New Roman" w:hAnsi="Times New Roman"/>
          <w:lang w:val="ru-RU"/>
        </w:rPr>
        <w:t>476</w:t>
      </w:r>
      <w:r>
        <w:rPr>
          <w:color w:val="000000"/>
          <w:sz w:val="18"/>
          <w:szCs w:val="18"/>
          <w:rFonts w:ascii="Times New Roman" w:hAnsi="Times New Roman"/>
          <w:lang w:val="ru-RU"/>
        </w:rPr>
        <w:t xml:space="preserve"> (2009) 33–42. doi:</w:t>
      </w:r>
      <w:r>
        <w:rPr>
          <w:color w:val="000080"/>
          <w:sz w:val="18"/>
          <w:szCs w:val="18"/>
          <w:rFonts w:ascii="Times New Roman" w:hAnsi="Times New Roman"/>
          <w:lang w:val="ru-RU"/>
        </w:rPr>
        <w:t>10.1016/j.jallcom.2008.09.145</w:t>
      </w:r>
    </w:p>
    <w:p>
      <w:pPr>
        <w:pStyle w:val="style0"/>
        <w:autoSpaceDE w:val="false"/>
        <w:spacing w:line="200" w:lineRule="atLeast"/>
      </w:pPr>
      <w:r>
        <w:rPr>
          <w:color w:val="000000"/>
          <w:sz w:val="18"/>
          <w:szCs w:val="18"/>
          <w:rFonts w:ascii="Times New Roman" w:hAnsi="Times New Roman"/>
          <w:lang w:val="ru-RU"/>
        </w:rPr>
        <w:t>A.V. Morozkin, Lindomar Carvalho, R. Nirmala, S.K. Malik, O. Isnard, Magnetic properties of ZrNiAl-type R3Mn3SiGa2 compounds (R = Y, Gd, Tb, Dy and Ho), Journal of Alloys and Compounds 502 (2010) 261–269. doi:</w:t>
      </w:r>
      <w:r>
        <w:rPr>
          <w:color w:val="000080"/>
          <w:sz w:val="18"/>
          <w:szCs w:val="18"/>
          <w:rFonts w:ascii="Times New Roman" w:hAnsi="Times New Roman"/>
          <w:lang w:val="ru-RU"/>
        </w:rPr>
        <w:t>10.1016/j.jallcom.2009.11.130</w:t>
      </w:r>
    </w:p>
    <w:p>
      <w:pPr>
        <w:pStyle w:val="style0"/>
        <w:jc w:val="both"/>
        <w:spacing w:line="200" w:lineRule="atLeast"/>
      </w:pPr>
      <w:r>
        <w:rPr>
          <w:sz w:val="18"/>
          <w:szCs w:val="18"/>
          <w:rFonts w:ascii="Times New Roman" w:hAnsi="Times New Roman"/>
        </w:rPr>
      </w:r>
    </w:p>
    <w:p>
      <w:pPr>
        <w:sectPr>
          <w:formProt w:val="off"/>
          <w:pgSz w:h="16837" w:w="11905"/>
          <w:cols w:equalWidth="false" w:num="2" w:sep="false">
            <w:col w:space="138" w:w="4693"/>
            <w:col w:w="4805"/>
          </w:cols>
          <w:textDirection w:val="lrTb"/>
          <w:type w:val="continuous"/>
          <w:pgMar w:bottom="1134" w:left="1134" w:right="1134" w:top="1134"/>
        </w:sectPr>
      </w:pPr>
    </w:p>
    <w:p>
      <w:pPr>
        <w:pStyle w:val="style24"/>
        <w:ind w:hanging="0" w:left="2202" w:right="0"/>
        <w:spacing w:line="40" w:lineRule="exact"/>
      </w:pPr>
      <w:r>
        <w:rPr>
          <w:sz w:val="18"/>
          <w:szCs w:val="18"/>
        </w:rPr>
      </w:r>
    </w:p>
    <w:p>
      <w:pPr>
        <w:pStyle w:val="style0"/>
        <w:ind w:hanging="0" w:left="0" w:right="4234"/>
        <w:spacing w:after="0" w:before="92"/>
      </w:pPr>
      <w:r>
        <w:rPr/>
        <w:t xml:space="preserve">              </w:t>
      </w:r>
      <w:r>
        <w:rPr>
          <w:color w:val="BF5A14"/>
          <w:rFonts w:ascii="Arial" w:hAnsi="Arial"/>
        </w:rPr>
        <w:t xml:space="preserve">Biography </w:t>
      </w:r>
    </w:p>
    <w:p>
      <w:pPr>
        <w:pStyle w:val="style0"/>
        <w:jc w:val="both"/>
        <w:ind w:hanging="0" w:left="213" w:right="231"/>
        <w:spacing w:after="0" w:before="41" w:line="154" w:lineRule="exact"/>
      </w:pPr>
      <w:r>
        <w:rPr>
          <w:sz w:val="16"/>
          <w:szCs w:val="16"/>
          <w:rFonts w:ascii="Arial" w:hAnsi="Arial"/>
        </w:rPr>
        <w:t>Since 1997 A.V.Morozkin work for rare earth intermetallic compounds: ternary 'Rare Earth – Transition metal – p-element' systems, crystal structure, magnetic structure and magnetic properties of rare earth compounds.</w:t>
      </w:r>
    </w:p>
    <w:p>
      <w:pPr>
        <w:pStyle w:val="style0"/>
        <w:jc w:val="center"/>
        <w:tabs>
          <w:tab w:leader="none" w:pos="4217" w:val="left"/>
          <w:tab w:leader="none" w:pos="4926" w:val="left"/>
        </w:tabs>
        <w:ind w:hanging="648" w:left="4217" w:right="3562"/>
        <w:spacing w:after="0" w:before="62"/>
      </w:pPr>
      <w:r>
        <w:rPr>
          <w:sz w:val="14"/>
          <w:rFonts w:ascii="Arial" w:hAnsi="Arial"/>
        </w:rPr>
        <w:t>Email:</w:t>
      </w:r>
      <w:hyperlink r:id="rId3">
        <w:r>
          <w:rPr>
            <w:sz w:val="14"/>
            <w:rStyle w:val="style21"/>
            <w:rFonts w:ascii="Arial" w:hAnsi="Arial"/>
          </w:rPr>
          <w:t>morozkin@tech.chem.msu.ru</w:t>
        </w:r>
      </w:hyperlink>
    </w:p>
    <w:p>
      <w:pPr>
        <w:pStyle w:val="style0"/>
        <w:jc w:val="center"/>
        <w:tabs>
          <w:tab w:leader="none" w:pos="4217" w:val="left"/>
          <w:tab w:leader="none" w:pos="4926" w:val="left"/>
        </w:tabs>
        <w:ind w:hanging="648" w:left="4217" w:right="3562"/>
        <w:spacing w:after="0" w:before="62"/>
      </w:pPr>
      <w:r>
        <w:rPr/>
      </w:r>
    </w:p>
    <w:p>
      <w:pPr>
        <w:sectPr>
          <w:formProt w:val="off"/>
          <w:pgSz w:h="16837" w:w="11905"/>
          <w:textDirection w:val="lrTb"/>
          <w:type w:val="continuous"/>
          <w:pgMar w:bottom="1134" w:left="1134" w:right="1134" w:top="1134"/>
        </w:sectPr>
      </w:pPr>
    </w:p>
    <w:sectPr>
      <w:formProt w:val="off"/>
      <w:pgSz w:h="16837" w:w="11905"/>
      <w:textDirection w:val="lrTb"/>
      <w:pgNumType w:fmt="decimal"/>
      <w:type w:val="continuous"/>
      <w:pgMar w:bottom="1134" w:left="1134" w:right="1134" w:top="1134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auto"/>
    <w:pitch w:val="default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Jc w:val="left"/>
      <w:lvlText w:val="%1"/>
      <w:pPr>
        <w:ind w:hanging="432" w:left="432"/>
      </w:pPr>
    </w:lvl>
    <w:lvl w:ilvl="1">
      <w:start w:val="1"/>
      <w:numFmt w:val="decimal"/>
      <w:lvlJc w:val="left"/>
      <w:lvlText w:val="%2"/>
      <w:pPr>
        <w:ind w:hanging="576" w:left="576"/>
      </w:pPr>
    </w:lvl>
    <w:lvl w:ilvl="2">
      <w:start w:val="1"/>
      <w:numFmt w:val="decimal"/>
      <w:lvlJc w:val="left"/>
      <w:lvlText w:val="%3"/>
      <w:pPr>
        <w:ind w:hanging="720" w:left="720"/>
      </w:pPr>
    </w:lvl>
    <w:lvl w:ilvl="3">
      <w:start w:val="1"/>
      <w:numFmt w:val="decimal"/>
      <w:lvlJc w:val="left"/>
      <w:lvlText w:val="%4"/>
      <w:pPr>
        <w:ind w:hanging="864" w:left="864"/>
      </w:pPr>
    </w:lvl>
    <w:lvl w:ilvl="4">
      <w:start w:val="1"/>
      <w:numFmt w:val="decimal"/>
      <w:lvlJc w:val="left"/>
      <w:lvlText w:val="%5"/>
      <w:pPr>
        <w:ind w:hanging="1008" w:left="1008"/>
      </w:pPr>
    </w:lvl>
    <w:lvl w:ilvl="5">
      <w:start w:val="1"/>
      <w:numFmt w:val="decimal"/>
      <w:lvlJc w:val="left"/>
      <w:lvlText w:val="%6"/>
      <w:pPr>
        <w:ind w:hanging="1152" w:left="1152"/>
      </w:pPr>
    </w:lvl>
    <w:lvl w:ilvl="6">
      <w:start w:val="1"/>
      <w:numFmt w:val="decimal"/>
      <w:lvlJc w:val="left"/>
      <w:lvlText w:val="%7"/>
      <w:pPr>
        <w:ind w:hanging="1296" w:left="1296"/>
      </w:pPr>
    </w:lvl>
    <w:lvl w:ilvl="7">
      <w:start w:val="1"/>
      <w:numFmt w:val="decimal"/>
      <w:lvlJc w:val="left"/>
      <w:lvlText w:val="%8"/>
      <w:pPr>
        <w:ind w:hanging="1440" w:left="1440"/>
      </w:pPr>
    </w:lvl>
    <w:lvl w:ilvl="8">
      <w:start w:val="1"/>
      <w:numFmt w:val="decimal"/>
      <w:lvlJc w:val="left"/>
      <w:lvlText w:val="%9"/>
      <w:pPr>
        <w:ind w:hanging="1584" w:left="1584"/>
      </w:pPr>
    </w:lvl>
  </w:abstractNum>
  <w:abstractNum w:abstractNumId="2">
    <w:lvl w:ilvl="0">
      <w:start w:val="1"/>
      <w:numFmt w:val="decimal"/>
      <w:lvlJc w:val="left"/>
      <w:lvlText w:val="%1"/>
      <w:pPr>
        <w:ind w:hanging="432" w:left="432"/>
      </w:pPr>
    </w:lvl>
    <w:lvl w:ilvl="1">
      <w:start w:val="1"/>
      <w:numFmt w:val="decimal"/>
      <w:lvlJc w:val="left"/>
      <w:lvlText w:val="%2"/>
      <w:pPr>
        <w:ind w:hanging="576" w:left="576"/>
      </w:pPr>
    </w:lvl>
    <w:lvl w:ilvl="2">
      <w:start w:val="1"/>
      <w:numFmt w:val="decimal"/>
      <w:lvlJc w:val="left"/>
      <w:lvlText w:val="%3"/>
      <w:pPr>
        <w:ind w:hanging="720" w:left="720"/>
      </w:pPr>
    </w:lvl>
    <w:lvl w:ilvl="3">
      <w:start w:val="1"/>
      <w:numFmt w:val="decimal"/>
      <w:lvlJc w:val="left"/>
      <w:lvlText w:val="%4"/>
      <w:pPr>
        <w:ind w:hanging="864" w:left="864"/>
      </w:pPr>
    </w:lvl>
    <w:lvl w:ilvl="4">
      <w:start w:val="1"/>
      <w:numFmt w:val="decimal"/>
      <w:lvlJc w:val="left"/>
      <w:lvlText w:val="%5"/>
      <w:pPr>
        <w:ind w:hanging="1008" w:left="1008"/>
      </w:pPr>
    </w:lvl>
    <w:lvl w:ilvl="5">
      <w:start w:val="1"/>
      <w:numFmt w:val="decimal"/>
      <w:lvlJc w:val="left"/>
      <w:lvlText w:val="%6"/>
      <w:pPr>
        <w:ind w:hanging="1152" w:left="1152"/>
      </w:pPr>
    </w:lvl>
    <w:lvl w:ilvl="6">
      <w:start w:val="1"/>
      <w:numFmt w:val="decimal"/>
      <w:lvlJc w:val="left"/>
      <w:lvlText w:val="%7"/>
      <w:pPr>
        <w:ind w:hanging="1296" w:left="1296"/>
      </w:pPr>
    </w:lvl>
    <w:lvl w:ilvl="7">
      <w:start w:val="1"/>
      <w:numFmt w:val="decimal"/>
      <w:lvlJc w:val="left"/>
      <w:lvlText w:val="%8"/>
      <w:pPr>
        <w:ind w:hanging="1440" w:left="1440"/>
      </w:pPr>
    </w:lvl>
    <w:lvl w:ilvl="8">
      <w:start w:val="1"/>
      <w:numFmt w:val="decimal"/>
      <w:lvlJc w:val="left"/>
      <w:lvlText w:val="%9"/>
      <w:pPr>
        <w:ind w:hanging="1584" w:left="1584"/>
      </w:pPr>
    </w:lvl>
  </w:abstractNum>
  <w:abstractNum w:abstractNumId="3">
    <w:lvl w:ilvl="0">
      <w:start w:val="1"/>
      <w:numFmt w:val="decimal"/>
      <w:lvlJc w:val="left"/>
      <w:lvlText w:val="%1."/>
      <w:pPr>
        <w:ind w:hanging="284" w:left="383"/>
      </w:pPr>
      <w:rPr>
        <w:sz w:val="18"/>
        <w:szCs w:val="18"/>
        <w:w w:val="100"/>
      </w:rPr>
    </w:lvl>
    <w:lvl w:ilvl="1">
      <w:start w:val="1"/>
      <w:numFmt w:val="bullet"/>
      <w:lvlJc w:val="left"/>
      <w:lvlText w:val=""/>
      <w:pPr>
        <w:ind w:hanging="284" w:left="877"/>
      </w:pPr>
      <w:rPr>
        <w:rFonts w:ascii="Symbol" w:cs="Symbol" w:hAnsi="Symbol" w:hint="default"/>
      </w:rPr>
    </w:lvl>
    <w:lvl w:ilvl="2">
      <w:start w:val="1"/>
      <w:numFmt w:val="bullet"/>
      <w:lvlJc w:val="left"/>
      <w:lvlText w:val=""/>
      <w:pPr>
        <w:ind w:hanging="284" w:left="1374"/>
      </w:pPr>
      <w:rPr>
        <w:rFonts w:ascii="Symbol" w:cs="Symbol" w:hAnsi="Symbol" w:hint="default"/>
      </w:rPr>
    </w:lvl>
    <w:lvl w:ilvl="3">
      <w:start w:val="1"/>
      <w:numFmt w:val="bullet"/>
      <w:lvlJc w:val="left"/>
      <w:lvlText w:val=""/>
      <w:pPr>
        <w:ind w:hanging="284" w:left="1871"/>
      </w:pPr>
      <w:rPr>
        <w:rFonts w:ascii="Symbol" w:cs="Symbol" w:hAnsi="Symbol" w:hint="default"/>
      </w:rPr>
    </w:lvl>
    <w:lvl w:ilvl="4">
      <w:start w:val="1"/>
      <w:numFmt w:val="bullet"/>
      <w:lvlJc w:val="left"/>
      <w:lvlText w:val=""/>
      <w:pPr>
        <w:ind w:hanging="284" w:left="2369"/>
      </w:pPr>
      <w:rPr>
        <w:rFonts w:ascii="Symbol" w:cs="Symbol" w:hAnsi="Symbol" w:hint="default"/>
      </w:rPr>
    </w:lvl>
    <w:lvl w:ilvl="5">
      <w:start w:val="1"/>
      <w:numFmt w:val="bullet"/>
      <w:lvlJc w:val="left"/>
      <w:lvlText w:val=""/>
      <w:pPr>
        <w:ind w:hanging="284" w:left="2866"/>
      </w:pPr>
      <w:rPr>
        <w:rFonts w:ascii="Symbol" w:cs="Symbol" w:hAnsi="Symbol" w:hint="default"/>
      </w:rPr>
    </w:lvl>
    <w:lvl w:ilvl="6">
      <w:start w:val="1"/>
      <w:numFmt w:val="bullet"/>
      <w:lvlJc w:val="left"/>
      <w:lvlText w:val=""/>
      <w:pPr>
        <w:ind w:hanging="284" w:left="3363"/>
      </w:pPr>
      <w:rPr>
        <w:rFonts w:ascii="Symbol" w:cs="Symbol" w:hAnsi="Symbol" w:hint="default"/>
      </w:rPr>
    </w:lvl>
    <w:lvl w:ilvl="7">
      <w:start w:val="1"/>
      <w:numFmt w:val="bullet"/>
      <w:lvlJc w:val="left"/>
      <w:lvlText w:val=""/>
      <w:pPr>
        <w:ind w:hanging="284" w:left="3860"/>
      </w:pPr>
      <w:rPr>
        <w:rFonts w:ascii="Symbol" w:cs="Symbol" w:hAnsi="Symbol" w:hint="default"/>
      </w:rPr>
    </w:lvl>
    <w:lvl w:ilvl="8">
      <w:start w:val="1"/>
      <w:numFmt w:val="bullet"/>
      <w:lvlJc w:val="left"/>
      <w:lvlText w:val=""/>
      <w:pPr>
        <w:ind w:hanging="284" w:left="4358"/>
      </w:pPr>
      <w:rPr>
        <w:rFonts w:ascii="Symbol" w:cs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jc w:val="left"/>
      <w:widowControl/>
      <w:tabs>
        <w:tab w:leader="none" w:pos="709" w:val="left"/>
      </w:tabs>
      <w:suppressAutoHyphens w:val="true"/>
      <w:spacing w:after="0" w:before="0" w:line="200" w:lineRule="atLeast"/>
    </w:pPr>
    <w:rPr>
      <w:color w:val="00000A"/>
      <w:sz w:val="22"/>
      <w:szCs w:val="22"/>
      <w:rFonts w:ascii="Tw Cen MT" w:cs="Tw Cen MT" w:eastAsia="Tw Cen MT" w:hAnsi="Tw Cen MT"/>
      <w:lang w:bidi="ar-SA" w:eastAsia="en-US" w:val="en-US"/>
    </w:rPr>
  </w:style>
  <w:style w:styleId="style1" w:type="paragraph">
    <w:name w:val="Заголовок 1"/>
    <w:basedOn w:val="style0"/>
    <w:next w:val="style24"/>
    <w:pPr>
      <w:outlineLvl w:val="0"/>
      <w:numPr>
        <w:ilvl w:val="0"/>
        <w:numId w:val="1"/>
      </w:numPr>
      <w:ind w:hanging="0" w:left="100" w:right="0"/>
      <w:spacing w:after="0" w:before="47" w:line="400" w:lineRule="exact"/>
    </w:pPr>
    <w:rPr>
      <w:sz w:val="36"/>
      <w:b/>
      <w:szCs w:val="36"/>
      <w:bCs/>
      <w:rFonts w:ascii="Minion Pro" w:cs="Minion Pro" w:eastAsia="Minion Pro" w:hAnsi="Minion Pro"/>
    </w:rPr>
  </w:style>
  <w:style w:styleId="style2" w:type="paragraph">
    <w:name w:val="Заголовок 2"/>
    <w:basedOn w:val="style0"/>
    <w:next w:val="style24"/>
    <w:pPr>
      <w:outlineLvl w:val="1"/>
      <w:numPr>
        <w:ilvl w:val="1"/>
        <w:numId w:val="1"/>
      </w:numPr>
      <w:ind w:hanging="0" w:left="100" w:right="0"/>
    </w:pPr>
    <w:rPr>
      <w:sz w:val="24"/>
      <w:i/>
      <w:b/>
      <w:szCs w:val="24"/>
      <w:iCs/>
      <w:bCs/>
      <w:rFonts w:ascii="Minion Pro" w:cs="Minion Pro" w:eastAsia="Minion Pro" w:hAnsi="Minion Pro"/>
    </w:rPr>
  </w:style>
  <w:style w:styleId="style3" w:type="paragraph">
    <w:name w:val="Заголовок 3"/>
    <w:basedOn w:val="style0"/>
    <w:next w:val="style24"/>
    <w:pPr>
      <w:outlineLvl w:val="2"/>
      <w:numPr>
        <w:ilvl w:val="2"/>
        <w:numId w:val="1"/>
      </w:numPr>
      <w:ind w:hanging="0" w:left="100" w:right="0"/>
    </w:pPr>
    <w:rPr>
      <w:sz w:val="20"/>
      <w:b/>
      <w:szCs w:val="20"/>
      <w:bCs/>
      <w:rFonts w:ascii="Arial" w:cs="Arial" w:eastAsia="Arial" w:hAnsi="Arial"/>
    </w:rPr>
  </w:style>
  <w:style w:styleId="style15" w:type="character">
    <w:name w:val="ListLabel 1"/>
    <w:next w:val="style15"/>
    <w:rPr>
      <w:sz w:val="18"/>
      <w:szCs w:val="18"/>
      <w:w w:val="100"/>
      <w:rFonts w:cs="Calibri" w:eastAsia="Calibri"/>
    </w:rPr>
  </w:style>
  <w:style w:styleId="style16" w:type="character">
    <w:name w:val="ListLabel 2"/>
    <w:next w:val="style16"/>
    <w:rPr>
      <w:rFonts w:cs="Symbol"/>
    </w:rPr>
  </w:style>
  <w:style w:styleId="style17" w:type="character">
    <w:name w:val="Default Paragraph Font"/>
    <w:next w:val="style17"/>
    <w:rPr/>
  </w:style>
  <w:style w:styleId="style18" w:type="character">
    <w:name w:val="Header Char"/>
    <w:basedOn w:val="style17"/>
    <w:next w:val="style18"/>
    <w:rPr/>
  </w:style>
  <w:style w:styleId="style19" w:type="character">
    <w:name w:val="Footer Char"/>
    <w:basedOn w:val="style17"/>
    <w:next w:val="style19"/>
    <w:rPr/>
  </w:style>
  <w:style w:styleId="style20" w:type="character">
    <w:name w:val="Balloon Text Char"/>
    <w:basedOn w:val="style17"/>
    <w:next w:val="style20"/>
    <w:rPr/>
  </w:style>
  <w:style w:styleId="style21" w:type="character">
    <w:name w:val="Интернет-ссылка"/>
    <w:basedOn w:val="style17"/>
    <w:next w:val="style21"/>
    <w:rPr>
      <w:color w:val="0000FF"/>
      <w:u w:val="single"/>
      <w:lang w:bidi="ru-RU" w:eastAsia="ru-RU" w:val="ru-RU"/>
    </w:rPr>
  </w:style>
  <w:style w:styleId="style22" w:type="character">
    <w:name w:val="Body Text Char"/>
    <w:basedOn w:val="style17"/>
    <w:next w:val="style22"/>
    <w:rPr/>
  </w:style>
  <w:style w:styleId="style23" w:type="paragraph">
    <w:name w:val="Заголовок"/>
    <w:basedOn w:val="style0"/>
    <w:next w:val="style24"/>
    <w:pPr>
      <w:keepNext/>
      <w:spacing w:after="120" w:before="240"/>
    </w:pPr>
    <w:rPr>
      <w:sz w:val="28"/>
      <w:szCs w:val="28"/>
      <w:rFonts w:ascii="Arial" w:cs="Tahoma" w:eastAsia="MS Mincho" w:hAnsi="Arial"/>
    </w:rPr>
  </w:style>
  <w:style w:styleId="style24" w:type="paragraph">
    <w:name w:val="Основной текст"/>
    <w:basedOn w:val="style0"/>
    <w:next w:val="style24"/>
    <w:pPr>
      <w:spacing w:after="120" w:before="0"/>
    </w:pPr>
    <w:rPr>
      <w:sz w:val="18"/>
      <w:szCs w:val="18"/>
    </w:rPr>
  </w:style>
  <w:style w:styleId="style25" w:type="paragraph">
    <w:name w:val="Список"/>
    <w:basedOn w:val="style24"/>
    <w:next w:val="style25"/>
    <w:pPr/>
    <w:rPr>
      <w:rFonts w:ascii="Arial" w:cs="Tahoma" w:hAnsi="Arial"/>
    </w:rPr>
  </w:style>
  <w:style w:styleId="style26" w:type="paragraph">
    <w:name w:val="Название"/>
    <w:basedOn w:val="style0"/>
    <w:next w:val="style26"/>
    <w:pPr>
      <w:suppressLineNumbers/>
      <w:spacing w:after="120" w:before="120"/>
    </w:pPr>
    <w:rPr>
      <w:sz w:val="20"/>
      <w:i/>
      <w:szCs w:val="24"/>
      <w:iCs/>
      <w:rFonts w:ascii="Arial" w:cs="Tahoma" w:hAnsi="Arial"/>
    </w:rPr>
  </w:style>
  <w:style w:styleId="style27" w:type="paragraph">
    <w:name w:val="Указатель"/>
    <w:basedOn w:val="style0"/>
    <w:next w:val="style27"/>
    <w:pPr>
      <w:suppressLineNumbers/>
    </w:pPr>
    <w:rPr>
      <w:rFonts w:ascii="Arial" w:cs="Tahoma" w:hAnsi="Arial"/>
    </w:rPr>
  </w:style>
  <w:style w:styleId="style28" w:type="paragraph">
    <w:name w:val="List Paragraph"/>
    <w:basedOn w:val="style0"/>
    <w:next w:val="style28"/>
    <w:pPr/>
    <w:rPr/>
  </w:style>
  <w:style w:styleId="style29" w:type="paragraph">
    <w:name w:val="Table Paragraph"/>
    <w:basedOn w:val="style0"/>
    <w:next w:val="style29"/>
    <w:pPr/>
    <w:rPr/>
  </w:style>
  <w:style w:styleId="style30" w:type="paragraph">
    <w:name w:val="Верхний колонтитул"/>
    <w:basedOn w:val="style0"/>
    <w:next w:val="style30"/>
    <w:pPr>
      <w:tabs>
        <w:tab w:leader="none" w:pos="4513" w:val="center"/>
        <w:tab w:leader="none" w:pos="9026" w:val="right"/>
      </w:tabs>
      <w:suppressLineNumbers/>
    </w:pPr>
    <w:rPr/>
  </w:style>
  <w:style w:styleId="style31" w:type="paragraph">
    <w:name w:val="Нижний колонтитул"/>
    <w:basedOn w:val="style0"/>
    <w:next w:val="style31"/>
    <w:pPr>
      <w:tabs>
        <w:tab w:leader="none" w:pos="4513" w:val="center"/>
        <w:tab w:leader="none" w:pos="9026" w:val="right"/>
      </w:tabs>
      <w:suppressLineNumbers/>
    </w:pPr>
    <w:rPr/>
  </w:style>
  <w:style w:styleId="style32" w:type="paragraph">
    <w:name w:val="Balloon Text"/>
    <w:basedOn w:val="style0"/>
    <w:next w:val="style32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4.emf"/><Relationship Id="rId3" Type="http://schemas.openxmlformats.org/officeDocument/2006/relationships/hyperlink" Target="mailto:morozkin@tech.chem.msu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OpenOffice.org/3.1$Win32 OpenOffice.org_project/310m19$Build-9420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2016-08-31T10:27:00.00Z</dcterms:created>
  <dc:creator>mehaboobi shaik</dc:creator>
  <cp:lastModifiedBy>Anil G</cp:lastModifiedBy>
  <dcterms:modified xsi:type="dcterms:W3CDTF">2016-08-31T10:27:00.00Z</dcterms:modified>
  <cp:revision>3</cp:revision>
</cp:coreProperties>
</file>