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003F1" w:rsidRDefault="002A01A6" w:rsidP="00494130">
      <w:pPr>
        <w:pStyle w:val="Heading1"/>
        <w:spacing w:before="170"/>
        <w:ind w:left="0"/>
      </w:pPr>
      <w:r w:rsidRPr="001003F1">
        <w:rPr>
          <w:color w:val="337AB7"/>
        </w:rPr>
        <w:t>Applications of GIS in Spatial Visitor Management of Protected Areas</w:t>
      </w:r>
    </w:p>
    <w:p w:rsidR="005973B9" w:rsidRPr="001003F1" w:rsidRDefault="002A01A6" w:rsidP="005973B9">
      <w:pPr>
        <w:pStyle w:val="BodyText"/>
        <w:spacing w:before="73" w:line="198" w:lineRule="exact"/>
        <w:ind w:left="100" w:right="5987"/>
        <w:rPr>
          <w:rFonts w:ascii="Arial"/>
        </w:rPr>
      </w:pPr>
      <w:r w:rsidRPr="001003F1">
        <w:rPr>
          <w:rFonts w:ascii="Arial"/>
        </w:rPr>
        <w:t>Isabelle D. Wolf, NSW National Parks and Wildlife Service, Office of Environment and Heritage, Hurstville, NSW 2220, Australia; Centre for Ecosystem Science, University of New South Wales, Sydney, NSW 2052, Australia; i.wolf@online.ms</w:t>
      </w:r>
    </w:p>
    <w:p w:rsidR="00AE3E37" w:rsidRPr="001003F1" w:rsidRDefault="00AE3E37">
      <w:pPr>
        <w:pStyle w:val="BodyText"/>
        <w:spacing w:before="3"/>
        <w:rPr>
          <w:rFonts w:ascii="Arial"/>
          <w:sz w:val="21"/>
        </w:rPr>
      </w:pPr>
    </w:p>
    <w:p w:rsidR="00AE3E37" w:rsidRPr="001003F1" w:rsidRDefault="00AE3E37">
      <w:pPr>
        <w:rPr>
          <w:rFonts w:ascii="Arial"/>
          <w:sz w:val="21"/>
        </w:rPr>
        <w:sectPr w:rsidR="00AE3E37" w:rsidRPr="001003F1">
          <w:headerReference w:type="default" r:id="rId9"/>
          <w:footerReference w:type="default" r:id="rId10"/>
          <w:type w:val="continuous"/>
          <w:pgSz w:w="11910" w:h="16840"/>
          <w:pgMar w:top="1740" w:right="600" w:bottom="840" w:left="620" w:header="541" w:footer="642" w:gutter="0"/>
          <w:cols w:space="720"/>
        </w:sectPr>
      </w:pPr>
    </w:p>
    <w:p w:rsidR="00AE3E37" w:rsidRPr="001003F1" w:rsidRDefault="00A9710C">
      <w:pPr>
        <w:pStyle w:val="Heading3"/>
        <w:spacing w:before="147"/>
        <w:jc w:val="both"/>
      </w:pPr>
      <w:r w:rsidRPr="001003F1">
        <w:rPr>
          <w:color w:val="BF5A14"/>
        </w:rPr>
        <w:lastRenderedPageBreak/>
        <w:t>Abstract</w:t>
      </w:r>
    </w:p>
    <w:p w:rsidR="00B73BB8" w:rsidRPr="001003F1" w:rsidRDefault="002A01A6" w:rsidP="00973192">
      <w:pPr>
        <w:spacing w:before="120" w:after="120"/>
        <w:ind w:left="98" w:right="34"/>
        <w:jc w:val="both"/>
        <w:rPr>
          <w:sz w:val="18"/>
          <w:szCs w:val="18"/>
        </w:rPr>
      </w:pPr>
      <w:r w:rsidRPr="001003F1">
        <w:rPr>
          <w:sz w:val="18"/>
          <w:szCs w:val="18"/>
        </w:rPr>
        <w:t xml:space="preserve">Spatial </w:t>
      </w:r>
      <w:r w:rsidR="000D0F95" w:rsidRPr="001003F1">
        <w:rPr>
          <w:sz w:val="18"/>
          <w:szCs w:val="18"/>
        </w:rPr>
        <w:t xml:space="preserve">land use </w:t>
      </w:r>
      <w:r w:rsidRPr="001003F1">
        <w:rPr>
          <w:sz w:val="18"/>
          <w:szCs w:val="18"/>
        </w:rPr>
        <w:t xml:space="preserve">planning is a critical component of visitor management </w:t>
      </w:r>
      <w:r w:rsidR="000D0F95" w:rsidRPr="001003F1">
        <w:rPr>
          <w:sz w:val="18"/>
          <w:szCs w:val="18"/>
        </w:rPr>
        <w:t>in urban parks and other protected areas. It</w:t>
      </w:r>
      <w:r w:rsidRPr="001003F1">
        <w:rPr>
          <w:sz w:val="18"/>
          <w:szCs w:val="18"/>
        </w:rPr>
        <w:t xml:space="preserve"> serves to manage visitor distributions in relation to park </w:t>
      </w:r>
      <w:r w:rsidR="00B73BB8" w:rsidRPr="001003F1">
        <w:rPr>
          <w:sz w:val="18"/>
          <w:szCs w:val="18"/>
        </w:rPr>
        <w:t>infrastructure</w:t>
      </w:r>
      <w:r w:rsidRPr="001003F1">
        <w:rPr>
          <w:sz w:val="18"/>
          <w:szCs w:val="18"/>
        </w:rPr>
        <w:t xml:space="preserve"> and landscape features </w:t>
      </w:r>
      <w:r w:rsidRPr="001003F1">
        <w:rPr>
          <w:sz w:val="18"/>
          <w:szCs w:val="18"/>
        </w:rPr>
        <w:fldChar w:fldCharType="begin">
          <w:fldData xml:space="preserve">PEVuZE5vdGU+PENpdGU+PEF1dGhvcj5Xb2xmPC9BdXRob3I+PFllYXI+MjAxMjwvWWVhcj48UmVj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</w:fldData>
        </w:fldChar>
      </w:r>
      <w:r w:rsidRPr="001003F1">
        <w:rPr>
          <w:sz w:val="18"/>
          <w:szCs w:val="18"/>
        </w:rPr>
        <w:instrText xml:space="preserve"> ADDIN EN.CITE </w:instrText>
      </w:r>
      <w:r w:rsidRPr="001003F1">
        <w:rPr>
          <w:sz w:val="18"/>
          <w:szCs w:val="18"/>
        </w:rPr>
        <w:fldChar w:fldCharType="begin">
          <w:fldData xml:space="preserve">PEVuZE5vdGU+PENpdGU+PEF1dGhvcj5Xb2xmPC9BdXRob3I+PFllYXI+MjAxMjwvWWVhcj48UmVj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</w:fldData>
        </w:fldChar>
      </w:r>
      <w:r w:rsidRPr="001003F1">
        <w:rPr>
          <w:sz w:val="18"/>
          <w:szCs w:val="18"/>
        </w:rPr>
        <w:instrText xml:space="preserve"> ADDIN EN.CITE.DATA </w:instrText>
      </w:r>
      <w:r w:rsidRPr="001003F1">
        <w:rPr>
          <w:sz w:val="18"/>
          <w:szCs w:val="18"/>
        </w:rPr>
      </w:r>
      <w:r w:rsidRPr="001003F1">
        <w:rPr>
          <w:sz w:val="18"/>
          <w:szCs w:val="18"/>
        </w:rPr>
        <w:fldChar w:fldCharType="end"/>
      </w:r>
      <w:r w:rsidRPr="001003F1">
        <w:rPr>
          <w:sz w:val="18"/>
          <w:szCs w:val="18"/>
        </w:rPr>
      </w:r>
      <w:r w:rsidRPr="001003F1">
        <w:rPr>
          <w:sz w:val="18"/>
          <w:szCs w:val="18"/>
        </w:rPr>
        <w:fldChar w:fldCharType="separate"/>
      </w:r>
      <w:r w:rsidRPr="001003F1">
        <w:rPr>
          <w:sz w:val="18"/>
          <w:szCs w:val="18"/>
        </w:rPr>
        <w:t>(</w:t>
      </w:r>
      <w:hyperlink w:anchor="_ENREF_1" w:tooltip="Wolf, 2012 #2422" w:history="1">
        <w:r w:rsidRPr="001003F1">
          <w:rPr>
            <w:sz w:val="18"/>
            <w:szCs w:val="18"/>
          </w:rPr>
          <w:t>Wolf, Hagenloh, &amp; Croft, 2012</w:t>
        </w:r>
      </w:hyperlink>
      <w:r w:rsidRPr="001003F1">
        <w:rPr>
          <w:sz w:val="18"/>
          <w:szCs w:val="18"/>
        </w:rPr>
        <w:t xml:space="preserve">; </w:t>
      </w:r>
      <w:hyperlink w:anchor="_ENREF_2" w:tooltip="Wolf, 2012 #3926" w:history="1">
        <w:r w:rsidRPr="001003F1">
          <w:rPr>
            <w:sz w:val="18"/>
            <w:szCs w:val="18"/>
          </w:rPr>
          <w:t>Wolf, Stricker, &amp; Hagenloh, 2012</w:t>
        </w:r>
      </w:hyperlink>
      <w:r w:rsidRPr="001003F1">
        <w:rPr>
          <w:sz w:val="18"/>
          <w:szCs w:val="18"/>
        </w:rPr>
        <w:t xml:space="preserve">; </w:t>
      </w:r>
      <w:hyperlink w:anchor="_ENREF_3" w:tooltip="Wolf, 2013 #2835" w:history="1">
        <w:r w:rsidRPr="001003F1">
          <w:rPr>
            <w:sz w:val="18"/>
            <w:szCs w:val="18"/>
          </w:rPr>
          <w:t>Wolf, Stricker, &amp; Hagenloh, 2013</w:t>
        </w:r>
      </w:hyperlink>
      <w:r w:rsidRPr="001003F1">
        <w:rPr>
          <w:sz w:val="18"/>
          <w:szCs w:val="18"/>
        </w:rPr>
        <w:t>)</w:t>
      </w:r>
      <w:r w:rsidRPr="001003F1">
        <w:rPr>
          <w:sz w:val="18"/>
          <w:szCs w:val="18"/>
        </w:rPr>
        <w:fldChar w:fldCharType="end"/>
      </w:r>
      <w:r w:rsidR="000D0F95" w:rsidRPr="001003F1">
        <w:rPr>
          <w:sz w:val="18"/>
          <w:szCs w:val="18"/>
        </w:rPr>
        <w:t>.</w:t>
      </w:r>
      <w:r w:rsidR="00F5383A" w:rsidRPr="001003F1">
        <w:rPr>
          <w:sz w:val="18"/>
          <w:szCs w:val="18"/>
        </w:rPr>
        <w:t xml:space="preserve"> </w:t>
      </w:r>
      <w:r w:rsidRPr="001003F1">
        <w:rPr>
          <w:sz w:val="18"/>
          <w:szCs w:val="18"/>
        </w:rPr>
        <w:t xml:space="preserve">Participatory spatial planning of public lands is a relatively new development in visitor management. In this research </w:t>
      </w:r>
      <w:r w:rsidR="00B73BB8" w:rsidRPr="001003F1">
        <w:rPr>
          <w:sz w:val="18"/>
          <w:szCs w:val="18"/>
        </w:rPr>
        <w:t xml:space="preserve">we used </w:t>
      </w:r>
      <w:r w:rsidRPr="001003F1">
        <w:rPr>
          <w:sz w:val="18"/>
          <w:szCs w:val="18"/>
        </w:rPr>
        <w:t>public participation geographic information system (PPGIS) mapping</w:t>
      </w:r>
      <w:r w:rsidR="00F5383A" w:rsidRPr="001003F1">
        <w:rPr>
          <w:sz w:val="18"/>
          <w:szCs w:val="18"/>
        </w:rPr>
        <w:t xml:space="preserve"> and tracking </w:t>
      </w:r>
      <w:r w:rsidRPr="001003F1">
        <w:rPr>
          <w:sz w:val="18"/>
          <w:szCs w:val="18"/>
        </w:rPr>
        <w:t>combined with questionnaire-based surveying to monitor distributions</w:t>
      </w:r>
      <w:r w:rsidR="00B73BB8" w:rsidRPr="001003F1">
        <w:rPr>
          <w:sz w:val="18"/>
          <w:szCs w:val="18"/>
        </w:rPr>
        <w:t>, land use</w:t>
      </w:r>
      <w:r w:rsidR="001003F1">
        <w:rPr>
          <w:sz w:val="18"/>
          <w:szCs w:val="18"/>
        </w:rPr>
        <w:t xml:space="preserve"> behavio</w:t>
      </w:r>
      <w:r w:rsidR="00B73BB8" w:rsidRPr="001003F1">
        <w:rPr>
          <w:sz w:val="18"/>
          <w:szCs w:val="18"/>
        </w:rPr>
        <w:t>r</w:t>
      </w:r>
      <w:r w:rsidRPr="001003F1">
        <w:rPr>
          <w:sz w:val="18"/>
          <w:szCs w:val="18"/>
        </w:rPr>
        <w:t xml:space="preserve">, and certain impacts of </w:t>
      </w:r>
      <w:r w:rsidR="00F5383A" w:rsidRPr="001003F1">
        <w:rPr>
          <w:sz w:val="18"/>
          <w:szCs w:val="18"/>
        </w:rPr>
        <w:t>visitors</w:t>
      </w:r>
      <w:r w:rsidRPr="001003F1">
        <w:rPr>
          <w:sz w:val="18"/>
          <w:szCs w:val="18"/>
        </w:rPr>
        <w:t xml:space="preserve"> </w:t>
      </w:r>
      <w:r w:rsidR="00F5383A" w:rsidRPr="001003F1">
        <w:rPr>
          <w:sz w:val="18"/>
          <w:szCs w:val="18"/>
        </w:rPr>
        <w:t>to</w:t>
      </w:r>
      <w:r w:rsidRPr="001003F1">
        <w:rPr>
          <w:sz w:val="18"/>
          <w:szCs w:val="18"/>
        </w:rPr>
        <w:t xml:space="preserve"> selected national parks and surrounding land tenures in Northern Sydney</w:t>
      </w:r>
      <w:r w:rsidR="00F5383A" w:rsidRPr="001003F1">
        <w:rPr>
          <w:sz w:val="18"/>
          <w:szCs w:val="18"/>
        </w:rPr>
        <w:t>, Australia</w:t>
      </w:r>
      <w:r w:rsidRPr="001003F1">
        <w:rPr>
          <w:sz w:val="18"/>
          <w:szCs w:val="18"/>
        </w:rPr>
        <w:t xml:space="preserve"> </w:t>
      </w:r>
      <w:r w:rsidRPr="001003F1">
        <w:rPr>
          <w:sz w:val="18"/>
          <w:szCs w:val="18"/>
        </w:rPr>
        <w:fldChar w:fldCharType="begin">
          <w:fldData xml:space="preserve">PEVuZE5vdGU+PENpdGU+PEF1dGhvcj5Xb2xmPC9BdXRob3I+PFllYXI+MjAxNTwvWWVhcj48UmVj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</w:fldData>
        </w:fldChar>
      </w:r>
      <w:r w:rsidRPr="001003F1">
        <w:rPr>
          <w:sz w:val="18"/>
          <w:szCs w:val="18"/>
        </w:rPr>
        <w:instrText xml:space="preserve"> ADDIN EN.CITE </w:instrText>
      </w:r>
      <w:r w:rsidRPr="001003F1">
        <w:rPr>
          <w:sz w:val="18"/>
          <w:szCs w:val="18"/>
        </w:rPr>
        <w:fldChar w:fldCharType="begin">
          <w:fldData xml:space="preserve">PEVuZE5vdGU+PENpdGU+PEF1dGhvcj5Xb2xmPC9BdXRob3I+PFllYXI+MjAxNTwvWWVhcj48UmVj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</w:fldData>
        </w:fldChar>
      </w:r>
      <w:r w:rsidRPr="001003F1">
        <w:rPr>
          <w:sz w:val="18"/>
          <w:szCs w:val="18"/>
        </w:rPr>
        <w:instrText xml:space="preserve"> ADDIN EN.CITE.DATA </w:instrText>
      </w:r>
      <w:r w:rsidRPr="001003F1">
        <w:rPr>
          <w:sz w:val="18"/>
          <w:szCs w:val="18"/>
        </w:rPr>
      </w:r>
      <w:r w:rsidRPr="001003F1">
        <w:rPr>
          <w:sz w:val="18"/>
          <w:szCs w:val="18"/>
        </w:rPr>
        <w:fldChar w:fldCharType="end"/>
      </w:r>
      <w:r w:rsidRPr="001003F1">
        <w:rPr>
          <w:sz w:val="18"/>
          <w:szCs w:val="18"/>
        </w:rPr>
      </w:r>
      <w:r w:rsidRPr="001003F1">
        <w:rPr>
          <w:sz w:val="18"/>
          <w:szCs w:val="18"/>
        </w:rPr>
        <w:fldChar w:fldCharType="separate"/>
      </w:r>
      <w:r w:rsidRPr="001003F1">
        <w:rPr>
          <w:sz w:val="18"/>
          <w:szCs w:val="18"/>
        </w:rPr>
        <w:t>(</w:t>
      </w:r>
      <w:hyperlink w:anchor="_ENREF_4" w:tooltip="Wolf, 2014 #3928" w:history="1">
        <w:r w:rsidRPr="001003F1">
          <w:rPr>
            <w:sz w:val="18"/>
            <w:szCs w:val="18"/>
          </w:rPr>
          <w:t>Wolf, Wohlfart, &amp; Brown, 2014</w:t>
        </w:r>
      </w:hyperlink>
      <w:r w:rsidRPr="001003F1">
        <w:rPr>
          <w:sz w:val="18"/>
          <w:szCs w:val="18"/>
        </w:rPr>
        <w:t xml:space="preserve">; </w:t>
      </w:r>
      <w:hyperlink w:anchor="_ENREF_5" w:tooltip="Wolf, 2015 #3517" w:history="1">
        <w:r w:rsidRPr="001003F1">
          <w:rPr>
            <w:sz w:val="18"/>
            <w:szCs w:val="18"/>
          </w:rPr>
          <w:t>Wolf, Wohlfart, Brown, &amp; Bartolomé Lasa, 2015</w:t>
        </w:r>
      </w:hyperlink>
      <w:r w:rsidRPr="001003F1">
        <w:rPr>
          <w:sz w:val="18"/>
          <w:szCs w:val="18"/>
        </w:rPr>
        <w:t>)</w:t>
      </w:r>
      <w:r w:rsidRPr="001003F1">
        <w:rPr>
          <w:sz w:val="18"/>
          <w:szCs w:val="18"/>
        </w:rPr>
        <w:fldChar w:fldCharType="end"/>
      </w:r>
      <w:r w:rsidRPr="001003F1">
        <w:rPr>
          <w:sz w:val="18"/>
          <w:szCs w:val="18"/>
        </w:rPr>
        <w:t xml:space="preserve">. </w:t>
      </w:r>
      <w:r w:rsidR="00B73BB8" w:rsidRPr="001003F1">
        <w:rPr>
          <w:sz w:val="18"/>
          <w:szCs w:val="18"/>
        </w:rPr>
        <w:t xml:space="preserve">Fundamental spatially implicit </w:t>
      </w:r>
      <w:r w:rsidR="00B73BB8" w:rsidRPr="001003F1">
        <w:rPr>
          <w:sz w:val="18"/>
          <w:szCs w:val="18"/>
        </w:rPr>
        <w:t>management questions</w:t>
      </w:r>
      <w:r w:rsidR="00B73BB8" w:rsidRPr="001003F1">
        <w:rPr>
          <w:sz w:val="18"/>
          <w:szCs w:val="18"/>
        </w:rPr>
        <w:t xml:space="preserve"> were asked on (1) </w:t>
      </w:r>
      <w:r w:rsidR="00B73BB8" w:rsidRPr="001003F1">
        <w:rPr>
          <w:sz w:val="18"/>
          <w:szCs w:val="18"/>
        </w:rPr>
        <w:t xml:space="preserve">distributions </w:t>
      </w:r>
      <w:r w:rsidR="00B73BB8" w:rsidRPr="001003F1">
        <w:rPr>
          <w:sz w:val="18"/>
          <w:szCs w:val="18"/>
        </w:rPr>
        <w:t xml:space="preserve">of visitors; (2) </w:t>
      </w:r>
      <w:r w:rsidR="00B73BB8" w:rsidRPr="001003F1">
        <w:rPr>
          <w:sz w:val="18"/>
          <w:szCs w:val="18"/>
        </w:rPr>
        <w:t xml:space="preserve">spatial overlap of different </w:t>
      </w:r>
      <w:r w:rsidR="00B73BB8" w:rsidRPr="001003F1">
        <w:rPr>
          <w:sz w:val="18"/>
          <w:szCs w:val="18"/>
        </w:rPr>
        <w:t xml:space="preserve">visitor activities; (3) </w:t>
      </w:r>
      <w:r w:rsidR="005C0138" w:rsidRPr="001003F1">
        <w:rPr>
          <w:sz w:val="18"/>
          <w:szCs w:val="18"/>
        </w:rPr>
        <w:t>use of visitor infrastructure</w:t>
      </w:r>
      <w:r w:rsidR="00F77947" w:rsidRPr="001003F1">
        <w:rPr>
          <w:sz w:val="18"/>
          <w:szCs w:val="18"/>
        </w:rPr>
        <w:t xml:space="preserve"> (e.g., time spent at specific infrastructure as an indicator for demand)</w:t>
      </w:r>
      <w:r w:rsidR="005C0138" w:rsidRPr="001003F1">
        <w:rPr>
          <w:sz w:val="18"/>
          <w:szCs w:val="18"/>
        </w:rPr>
        <w:t xml:space="preserve">; (4) </w:t>
      </w:r>
      <w:r w:rsidR="00B73BB8" w:rsidRPr="001003F1">
        <w:rPr>
          <w:sz w:val="18"/>
          <w:szCs w:val="18"/>
        </w:rPr>
        <w:t>location-specific actions required to improve existing visitor experiences.</w:t>
      </w:r>
      <w:r w:rsidR="005C0138" w:rsidRPr="001003F1">
        <w:rPr>
          <w:sz w:val="18"/>
          <w:szCs w:val="18"/>
        </w:rPr>
        <w:t xml:space="preserve"> </w:t>
      </w:r>
      <w:r w:rsidR="00BB740F" w:rsidRPr="001003F1">
        <w:rPr>
          <w:sz w:val="18"/>
          <w:szCs w:val="18"/>
        </w:rPr>
        <w:t xml:space="preserve">This research showcases how effective spatial GIS planning tools are in visitor land use management to determine locations that people visit, manage visitor </w:t>
      </w:r>
      <w:r w:rsidR="00BB740F" w:rsidRPr="001003F1">
        <w:rPr>
          <w:sz w:val="18"/>
          <w:szCs w:val="18"/>
        </w:rPr>
        <w:t>conflicts</w:t>
      </w:r>
      <w:r w:rsidR="00BB740F" w:rsidRPr="001003F1">
        <w:rPr>
          <w:sz w:val="18"/>
          <w:szCs w:val="18"/>
        </w:rPr>
        <w:t xml:space="preserve">, identify demand for visitor infrastructure, and </w:t>
      </w:r>
      <w:r w:rsidR="00973192" w:rsidRPr="001003F1">
        <w:rPr>
          <w:sz w:val="18"/>
          <w:szCs w:val="18"/>
        </w:rPr>
        <w:t xml:space="preserve">facilitate </w:t>
      </w:r>
      <w:r w:rsidR="00BB740F" w:rsidRPr="001003F1">
        <w:rPr>
          <w:sz w:val="18"/>
          <w:szCs w:val="18"/>
        </w:rPr>
        <w:t>visitor experience development. We discuss m</w:t>
      </w:r>
      <w:r w:rsidRPr="001003F1">
        <w:rPr>
          <w:sz w:val="18"/>
          <w:szCs w:val="18"/>
        </w:rPr>
        <w:t xml:space="preserve">ethodological implications of </w:t>
      </w:r>
      <w:r w:rsidR="00BB740F" w:rsidRPr="001003F1">
        <w:rPr>
          <w:sz w:val="18"/>
          <w:szCs w:val="18"/>
        </w:rPr>
        <w:t xml:space="preserve">using </w:t>
      </w:r>
      <w:r w:rsidRPr="001003F1">
        <w:rPr>
          <w:sz w:val="18"/>
          <w:szCs w:val="18"/>
        </w:rPr>
        <w:t xml:space="preserve">spatial visitor planning tools </w:t>
      </w:r>
      <w:r w:rsidR="00BB740F" w:rsidRPr="001003F1">
        <w:rPr>
          <w:sz w:val="18"/>
          <w:szCs w:val="18"/>
        </w:rPr>
        <w:t>with a focus on sampling efficiency, time commitment, hardware requirements, technical knowledge of participants, sample audience, representativeness of data, spatio-temporal data coverage, and data processing.</w:t>
      </w:r>
    </w:p>
    <w:p w:rsidR="002A01A6" w:rsidRPr="001003F1" w:rsidRDefault="002A01A6" w:rsidP="00F5383A">
      <w:pPr>
        <w:spacing w:before="120" w:after="120"/>
        <w:ind w:left="98" w:right="34"/>
        <w:rPr>
          <w:sz w:val="18"/>
          <w:szCs w:val="18"/>
        </w:rPr>
      </w:pPr>
    </w:p>
    <w:p w:rsidR="00AE3E37" w:rsidRPr="001003F1" w:rsidRDefault="00A9710C">
      <w:pPr>
        <w:pStyle w:val="Heading3"/>
        <w:spacing w:before="74"/>
        <w:rPr>
          <w:color w:val="BF5A14"/>
        </w:rPr>
      </w:pPr>
      <w:r w:rsidRPr="001003F1">
        <w:rPr>
          <w:b w:val="0"/>
        </w:rPr>
        <w:br w:type="column"/>
      </w:r>
      <w:r w:rsidRPr="001003F1">
        <w:rPr>
          <w:color w:val="BF5A14"/>
        </w:rPr>
        <w:lastRenderedPageBreak/>
        <w:t>Image</w:t>
      </w:r>
    </w:p>
    <w:p w:rsidR="002602E7" w:rsidRPr="001003F1" w:rsidRDefault="002602E7" w:rsidP="002602E7">
      <w:pPr>
        <w:tabs>
          <w:tab w:val="left" w:pos="3544"/>
        </w:tabs>
        <w:jc w:val="center"/>
        <w:rPr>
          <w:rFonts w:ascii="Times New Roman" w:hAnsi="Times New Roman" w:cs="Times New Roman"/>
          <w:sz w:val="24"/>
          <w:szCs w:val="24"/>
        </w:rPr>
      </w:pPr>
      <w:r w:rsidRPr="001003F1">
        <w:rPr>
          <w:rFonts w:ascii="Times New Roman" w:hAnsi="Times New Roman" w:cs="Times New Roman"/>
          <w:noProof/>
          <w:sz w:val="24"/>
          <w:szCs w:val="24"/>
          <w:lang w:eastAsia="en-AU"/>
        </w:rPr>
        <w:drawing>
          <wp:inline distT="0" distB="0" distL="0" distR="0" wp14:anchorId="19B6353F" wp14:editId="7E256B94">
            <wp:extent cx="2642665" cy="2465078"/>
            <wp:effectExtent l="0" t="0" r="5715" b="0"/>
            <wp:docPr id="2" name="Picture 2" descr="figure of meth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of metho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7518" cy="2469605"/>
                    </a:xfrm>
                    <a:prstGeom prst="rect">
                      <a:avLst/>
                    </a:prstGeom>
                    <a:noFill/>
                    <a:ln>
                      <a:noFill/>
                    </a:ln>
                  </pic:spPr>
                </pic:pic>
              </a:graphicData>
            </a:graphic>
          </wp:inline>
        </w:drawing>
      </w:r>
    </w:p>
    <w:p w:rsidR="002602E7" w:rsidRPr="00916AF7" w:rsidRDefault="002602E7" w:rsidP="002602E7">
      <w:pPr>
        <w:tabs>
          <w:tab w:val="left" w:pos="3544"/>
        </w:tabs>
        <w:rPr>
          <w:sz w:val="16"/>
          <w:szCs w:val="16"/>
        </w:rPr>
      </w:pPr>
      <w:r w:rsidRPr="00916AF7">
        <w:rPr>
          <w:sz w:val="16"/>
          <w:szCs w:val="16"/>
        </w:rPr>
        <w:t>Fig. 1 Internet-based public participation geographic information system (PPGIS) to (a) map and (b) comment on locations, reasons and required actions for mountain biking experiences in northern Sydney. (c) Exemplary map showing number of location markers that were placed along specific tracks within northern Sydney, illustrating visitor distributions.</w:t>
      </w:r>
    </w:p>
    <w:p w:rsidR="00AE3E37" w:rsidRPr="00916AF7" w:rsidRDefault="00AE3E37">
      <w:pPr>
        <w:pStyle w:val="BodyText"/>
        <w:spacing w:before="2"/>
        <w:rPr>
          <w:rFonts w:ascii="Arial"/>
          <w:b/>
          <w:sz w:val="12"/>
          <w:szCs w:val="12"/>
        </w:rPr>
      </w:pPr>
    </w:p>
    <w:p w:rsidR="005973B9" w:rsidRPr="001003F1" w:rsidRDefault="005973B9" w:rsidP="005973B9">
      <w:pPr>
        <w:spacing w:line="204" w:lineRule="exact"/>
        <w:rPr>
          <w:rFonts w:ascii="Arial"/>
          <w:b/>
          <w:color w:val="BF5A14"/>
          <w:sz w:val="20"/>
        </w:rPr>
      </w:pPr>
      <w:r w:rsidRPr="001003F1">
        <w:rPr>
          <w:rFonts w:ascii="Arial"/>
          <w:b/>
          <w:color w:val="BF5A14"/>
          <w:sz w:val="20"/>
        </w:rPr>
        <w:br/>
        <w:t>Recent Publications</w:t>
      </w:r>
    </w:p>
    <w:p w:rsidR="002A01A6" w:rsidRPr="00916AF7" w:rsidRDefault="002A01A6" w:rsidP="002A01A6">
      <w:pPr>
        <w:pStyle w:val="BodyText"/>
        <w:spacing w:before="3"/>
        <w:rPr>
          <w:rFonts w:ascii="Minion Pro"/>
          <w:sz w:val="2"/>
          <w:szCs w:val="2"/>
        </w:rPr>
      </w:pPr>
    </w:p>
    <w:p w:rsidR="002A01A6" w:rsidRPr="001003F1" w:rsidRDefault="002A01A6" w:rsidP="002A01A6">
      <w:pPr>
        <w:pStyle w:val="EndNoteBibliography"/>
        <w:numPr>
          <w:ilvl w:val="0"/>
          <w:numId w:val="6"/>
        </w:numPr>
      </w:pPr>
      <w:r w:rsidRPr="001003F1">
        <w:rPr>
          <w:rFonts w:ascii="Minion Pro"/>
          <w:sz w:val="26"/>
        </w:rPr>
        <w:fldChar w:fldCharType="begin"/>
      </w:r>
      <w:r w:rsidRPr="001003F1">
        <w:rPr>
          <w:rFonts w:ascii="Minion Pro"/>
          <w:sz w:val="26"/>
        </w:rPr>
        <w:instrText xml:space="preserve"> ADDIN EN.REFLIST </w:instrText>
      </w:r>
      <w:r w:rsidRPr="001003F1">
        <w:rPr>
          <w:rFonts w:ascii="Minion Pro"/>
          <w:sz w:val="26"/>
        </w:rPr>
        <w:fldChar w:fldCharType="separate"/>
      </w:r>
      <w:bookmarkStart w:id="0" w:name="_ENREF_1"/>
      <w:r w:rsidRPr="001003F1">
        <w:t xml:space="preserve">Wolf, I. D., Hagenloh, G., &amp; Croft, D. B. (2012). Visitor monitoring along roads and hiking trails: How to determine usage levels in tourist sites. </w:t>
      </w:r>
      <w:r w:rsidRPr="001003F1">
        <w:rPr>
          <w:i/>
        </w:rPr>
        <w:t>Tourism Management, 33</w:t>
      </w:r>
      <w:r w:rsidRPr="001003F1">
        <w:t>, 16-28. doi: doi: DOI: 10.1016/j.tourman.2011.01.019</w:t>
      </w:r>
      <w:bookmarkEnd w:id="0"/>
    </w:p>
    <w:p w:rsidR="002A01A6" w:rsidRPr="001003F1" w:rsidRDefault="002A01A6" w:rsidP="002A01A6">
      <w:pPr>
        <w:pStyle w:val="EndNoteBibliography"/>
        <w:numPr>
          <w:ilvl w:val="0"/>
          <w:numId w:val="6"/>
        </w:numPr>
      </w:pPr>
      <w:bookmarkStart w:id="1" w:name="_ENREF_2"/>
      <w:r w:rsidRPr="001003F1">
        <w:t xml:space="preserve">Wolf, I. D., Stricker, H., &amp; Hagenloh, G. (2012). The implementation of GPS tracking and GIS technology for park visitor monitoring: a key to managing visitor assets and experiences. </w:t>
      </w:r>
      <w:r w:rsidRPr="001003F1">
        <w:rPr>
          <w:i/>
        </w:rPr>
        <w:t>In Proceedings of the 6th international conference on monitoring and management of visitors in recreational and protected areas.</w:t>
      </w:r>
      <w:r w:rsidRPr="001003F1">
        <w:t xml:space="preserve"> </w:t>
      </w:r>
      <w:bookmarkEnd w:id="1"/>
    </w:p>
    <w:p w:rsidR="002A01A6" w:rsidRPr="001003F1" w:rsidRDefault="002A01A6" w:rsidP="002A01A6">
      <w:pPr>
        <w:pStyle w:val="EndNoteBibliography"/>
        <w:numPr>
          <w:ilvl w:val="0"/>
          <w:numId w:val="6"/>
        </w:numPr>
      </w:pPr>
      <w:bookmarkStart w:id="2" w:name="_ENREF_3"/>
      <w:r w:rsidRPr="001003F1">
        <w:t xml:space="preserve">Wolf, I. D., Stricker, H. K., &amp; Hagenloh, G. (2013). Interpretive media that attract park visitors and enhance their experiences: a comparison of modern and traditional tools using GPS tracking and GIS technology. </w:t>
      </w:r>
      <w:r w:rsidRPr="001003F1">
        <w:rPr>
          <w:i/>
        </w:rPr>
        <w:t>Tourism Management Perspectives, 7</w:t>
      </w:r>
      <w:r w:rsidRPr="001003F1">
        <w:t xml:space="preserve">, 59-72. </w:t>
      </w:r>
      <w:bookmarkEnd w:id="2"/>
    </w:p>
    <w:p w:rsidR="002A01A6" w:rsidRPr="001003F1" w:rsidRDefault="002A01A6" w:rsidP="002A01A6">
      <w:pPr>
        <w:pStyle w:val="EndNoteBibliography"/>
        <w:numPr>
          <w:ilvl w:val="0"/>
          <w:numId w:val="6"/>
        </w:numPr>
      </w:pPr>
      <w:bookmarkStart w:id="3" w:name="_ENREF_4"/>
      <w:r w:rsidRPr="001003F1">
        <w:t xml:space="preserve">Wolf, I. D., Wohlfart, T., &amp; Brown, G. (2014). The role of public participation GIS in protected areas management: a case study of mountain biking and horse riding. </w:t>
      </w:r>
      <w:r w:rsidRPr="001003F1">
        <w:rPr>
          <w:i/>
        </w:rPr>
        <w:t>In Proceedings of the 20th international symposium on society and resource management</w:t>
      </w:r>
      <w:r w:rsidRPr="001003F1">
        <w:t xml:space="preserve">. </w:t>
      </w:r>
      <w:bookmarkEnd w:id="3"/>
    </w:p>
    <w:p w:rsidR="002A01A6" w:rsidRPr="001003F1" w:rsidRDefault="002A01A6" w:rsidP="002A01A6">
      <w:pPr>
        <w:pStyle w:val="EndNoteBibliography"/>
        <w:numPr>
          <w:ilvl w:val="0"/>
          <w:numId w:val="6"/>
        </w:numPr>
      </w:pPr>
      <w:bookmarkStart w:id="4" w:name="_ENREF_5"/>
      <w:r w:rsidRPr="001003F1">
        <w:t xml:space="preserve">Wolf, I. D., Wohlfart, T., Brown, G., &amp; Bartolomé Lasa, A. (2015). The use of public participation GIS (PPGIS) for park visitor management: A case study of mountain biking. </w:t>
      </w:r>
      <w:r w:rsidRPr="001003F1">
        <w:rPr>
          <w:i/>
        </w:rPr>
        <w:t>Tourism Management, 51</w:t>
      </w:r>
      <w:r w:rsidRPr="001003F1">
        <w:t>, 112-130. doi: http://dx.doi.org/10.1016/j.tourman.2015.05.003</w:t>
      </w:r>
      <w:bookmarkEnd w:id="4"/>
    </w:p>
    <w:p w:rsidR="00AE3E37" w:rsidRPr="001003F1" w:rsidRDefault="002A01A6" w:rsidP="00916AF7">
      <w:pPr>
        <w:spacing w:line="204" w:lineRule="exact"/>
        <w:rPr>
          <w:rFonts w:ascii="Calibri" w:hAnsi="Calibri"/>
        </w:rPr>
        <w:sectPr w:rsidR="00AE3E37" w:rsidRPr="001003F1">
          <w:type w:val="continuous"/>
          <w:pgSz w:w="11910" w:h="16840"/>
          <w:pgMar w:top="1740" w:right="600" w:bottom="840" w:left="620" w:header="720" w:footer="720" w:gutter="0"/>
          <w:cols w:num="2" w:space="720" w:equalWidth="0">
            <w:col w:w="5214" w:space="138"/>
            <w:col w:w="5338"/>
          </w:cols>
        </w:sectPr>
      </w:pPr>
      <w:r w:rsidRPr="001003F1">
        <w:rPr>
          <w:rFonts w:ascii="Minion Pro"/>
          <w:sz w:val="26"/>
        </w:rPr>
        <w:fldChar w:fldCharType="end"/>
      </w:r>
      <w:r w:rsidR="008756E6" w:rsidRPr="001003F1">
        <w:rPr>
          <w:rFonts w:ascii="Calibri" w:hAnsi="Calibri"/>
        </w:rPr>
        <w:t xml:space="preserve">   </w:t>
      </w:r>
    </w:p>
    <w:p w:rsidR="00AE3E37" w:rsidRPr="001003F1" w:rsidRDefault="00292ED9">
      <w:pPr>
        <w:pStyle w:val="BodyText"/>
        <w:spacing w:line="40" w:lineRule="exact"/>
        <w:ind w:left="2202"/>
        <w:rPr>
          <w:rFonts w:ascii="Calibri"/>
          <w:sz w:val="4"/>
        </w:rPr>
      </w:pPr>
      <w:r w:rsidRPr="001003F1">
        <w:rPr>
          <w:rFonts w:ascii="Calibri"/>
          <w:noProof/>
          <w:sz w:val="4"/>
          <w:lang w:eastAsia="en-AU"/>
        </w:rPr>
        <w:lastRenderedPageBreak/>
        <mc:AlternateContent>
          <mc:Choice Requires="wpg">
            <w:drawing>
              <wp:inline distT="0" distB="0" distL="0" distR="0" wp14:anchorId="7C9D07B8" wp14:editId="2F3E20E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1003F1" w:rsidRDefault="008756E6" w:rsidP="00404E5B">
      <w:pPr>
        <w:spacing w:before="92"/>
        <w:ind w:right="4234"/>
        <w:rPr>
          <w:rFonts w:ascii="Arial"/>
        </w:rPr>
      </w:pPr>
      <w:r w:rsidRPr="001003F1">
        <w:rPr>
          <w:noProof/>
        </w:rPr>
        <w:t xml:space="preserve">              </w:t>
      </w:r>
      <w:r w:rsidR="0090191A" w:rsidRPr="001003F1">
        <w:rPr>
          <w:noProof/>
          <w:lang w:eastAsia="en-AU"/>
        </w:rPr>
        <w:drawing>
          <wp:inline distT="0" distB="0" distL="0" distR="0" wp14:anchorId="51D8E0E3" wp14:editId="083849C6">
            <wp:extent cx="560631" cy="618910"/>
            <wp:effectExtent l="0" t="0" r="0" b="0"/>
            <wp:docPr id="3" name="Picture 3" descr="IsabelleWo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abelleWol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209" cy="619548"/>
                    </a:xfrm>
                    <a:prstGeom prst="rect">
                      <a:avLst/>
                    </a:prstGeom>
                    <a:noFill/>
                    <a:ln>
                      <a:noFill/>
                    </a:ln>
                  </pic:spPr>
                </pic:pic>
              </a:graphicData>
            </a:graphic>
          </wp:inline>
        </w:drawing>
      </w:r>
      <w:r w:rsidR="00A9710C" w:rsidRPr="001003F1">
        <w:rPr>
          <w:rFonts w:ascii="Arial"/>
          <w:color w:val="BF5A14"/>
        </w:rPr>
        <w:t>Biography</w:t>
      </w:r>
    </w:p>
    <w:p w:rsidR="00AE3E37" w:rsidRPr="001003F1" w:rsidRDefault="002B6B4B">
      <w:pPr>
        <w:spacing w:before="41" w:line="154" w:lineRule="exact"/>
        <w:ind w:left="213" w:right="231"/>
        <w:jc w:val="both"/>
        <w:rPr>
          <w:rFonts w:ascii="Arial"/>
          <w:sz w:val="14"/>
        </w:rPr>
      </w:pPr>
      <w:r w:rsidRPr="001003F1">
        <w:rPr>
          <w:rFonts w:ascii="Arial"/>
          <w:sz w:val="14"/>
        </w:rPr>
        <w:t xml:space="preserve">Dr. Isabelle </w:t>
      </w:r>
      <w:r w:rsidR="00454B04">
        <w:rPr>
          <w:rFonts w:ascii="Arial"/>
          <w:sz w:val="14"/>
        </w:rPr>
        <w:t xml:space="preserve">D. </w:t>
      </w:r>
      <w:bookmarkStart w:id="5" w:name="_GoBack"/>
      <w:bookmarkEnd w:id="5"/>
      <w:r w:rsidRPr="001003F1">
        <w:rPr>
          <w:rFonts w:ascii="Arial"/>
          <w:sz w:val="14"/>
        </w:rPr>
        <w:t xml:space="preserve">Wolf is a Research and Analysis Officer at the Office of Environment and Heritage, Australia, </w:t>
      </w:r>
      <w:r w:rsidR="00C46438">
        <w:rPr>
          <w:rFonts w:ascii="Arial"/>
          <w:sz w:val="14"/>
        </w:rPr>
        <w:t>and Adjunct Associate Lecturer at the University of New South Wales. Isabelle undertakes</w:t>
      </w:r>
      <w:r w:rsidRPr="001003F1">
        <w:rPr>
          <w:rFonts w:ascii="Arial"/>
          <w:sz w:val="14"/>
        </w:rPr>
        <w:t xml:space="preserve"> all aspects of </w:t>
      </w:r>
      <w:r w:rsidR="00C46438">
        <w:rPr>
          <w:rFonts w:ascii="Arial"/>
          <w:sz w:val="14"/>
        </w:rPr>
        <w:t xml:space="preserve">innovative </w:t>
      </w:r>
      <w:r w:rsidRPr="001003F1">
        <w:rPr>
          <w:rFonts w:ascii="Arial"/>
          <w:sz w:val="14"/>
        </w:rPr>
        <w:t xml:space="preserve">spatial park visitor research and monitoring, including visitor experience development and management. Trained as an ecologist, her </w:t>
      </w:r>
      <w:r w:rsidR="001003F1" w:rsidRPr="001003F1">
        <w:rPr>
          <w:rFonts w:ascii="Arial"/>
          <w:sz w:val="14"/>
        </w:rPr>
        <w:t>specialty</w:t>
      </w:r>
      <w:r w:rsidRPr="001003F1">
        <w:rPr>
          <w:rFonts w:ascii="Arial"/>
          <w:sz w:val="14"/>
        </w:rPr>
        <w:t xml:space="preserve"> is the interface between people and their environment, wit</w:t>
      </w:r>
      <w:r w:rsidR="001003F1">
        <w:rPr>
          <w:rFonts w:ascii="Arial"/>
          <w:sz w:val="14"/>
        </w:rPr>
        <w:t>h recent work on animal behavio</w:t>
      </w:r>
      <w:r w:rsidRPr="001003F1">
        <w:rPr>
          <w:rFonts w:ascii="Arial"/>
          <w:sz w:val="14"/>
        </w:rPr>
        <w:t>r and flora and fauna communities in fragmented and disturbed habitats. Isabelle has a PhD from the University of New South Wales and published in both social and environmental science journals.</w:t>
      </w:r>
    </w:p>
    <w:p w:rsidR="00AE3E37" w:rsidRPr="001003F1" w:rsidRDefault="00A9710C">
      <w:pPr>
        <w:spacing w:before="62"/>
        <w:ind w:left="4217" w:right="4235"/>
        <w:jc w:val="center"/>
        <w:rPr>
          <w:rFonts w:ascii="Arial"/>
          <w:sz w:val="14"/>
        </w:rPr>
      </w:pPr>
      <w:r w:rsidRPr="001003F1">
        <w:rPr>
          <w:rFonts w:ascii="Arial"/>
          <w:sz w:val="14"/>
        </w:rPr>
        <w:t xml:space="preserve">Email: </w:t>
      </w:r>
      <w:hyperlink r:id="rId13" w:history="1">
        <w:r w:rsidR="002B6B4B" w:rsidRPr="001003F1">
          <w:rPr>
            <w:rStyle w:val="Hyperlink"/>
            <w:rFonts w:ascii="Arial"/>
            <w:sz w:val="14"/>
          </w:rPr>
          <w:t>i.wolf@online.ms</w:t>
        </w:r>
      </w:hyperlink>
    </w:p>
    <w:p w:rsidR="002B6B4B" w:rsidRPr="001003F1" w:rsidRDefault="002B6B4B">
      <w:pPr>
        <w:pStyle w:val="BodyText"/>
        <w:spacing w:before="2"/>
        <w:rPr>
          <w:rFonts w:ascii="Arial"/>
          <w:sz w:val="19"/>
        </w:rPr>
      </w:pPr>
    </w:p>
    <w:p w:rsidR="00AE3E37" w:rsidRPr="001003F1" w:rsidRDefault="00292ED9" w:rsidP="002B6B4B">
      <w:pPr>
        <w:pStyle w:val="BodyText"/>
        <w:spacing w:before="2"/>
        <w:rPr>
          <w:rFonts w:ascii="Arial"/>
          <w:sz w:val="20"/>
        </w:rPr>
      </w:pPr>
      <w:r w:rsidRPr="001003F1">
        <w:rPr>
          <w:noProof/>
          <w:lang w:eastAsia="en-AU"/>
        </w:rPr>
        <mc:AlternateContent>
          <mc:Choice Requires="wps">
            <w:drawing>
              <wp:anchor distT="0" distB="0" distL="0" distR="0" simplePos="0" relativeHeight="1072" behindDoc="0" locked="0" layoutInCell="1" allowOverlap="1" wp14:anchorId="095B836F" wp14:editId="16CDF2B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003F1" w:rsidRDefault="00AE3E37">
      <w:pPr>
        <w:pStyle w:val="BodyText"/>
        <w:rPr>
          <w:rFonts w:ascii="Arial"/>
          <w:sz w:val="20"/>
        </w:rPr>
      </w:pPr>
    </w:p>
    <w:p w:rsidR="00AE3E37" w:rsidRPr="001003F1" w:rsidRDefault="00AE3E37">
      <w:pPr>
        <w:pStyle w:val="BodyText"/>
        <w:spacing w:before="7"/>
        <w:rPr>
          <w:rFonts w:ascii="Arial"/>
          <w:sz w:val="29"/>
        </w:rPr>
      </w:pPr>
    </w:p>
    <w:p w:rsidR="00AE3E37" w:rsidRPr="001003F1" w:rsidRDefault="00A9710C">
      <w:pPr>
        <w:spacing w:before="39"/>
        <w:ind w:left="100"/>
        <w:rPr>
          <w:rFonts w:ascii="Minion Pro"/>
          <w:b/>
          <w:sz w:val="20"/>
        </w:rPr>
      </w:pPr>
      <w:r w:rsidRPr="001003F1">
        <w:rPr>
          <w:rFonts w:ascii="Minion Pro"/>
          <w:b/>
          <w:sz w:val="20"/>
        </w:rPr>
        <w:t>Notes/Comments:</w:t>
      </w:r>
    </w:p>
    <w:p w:rsidR="00AE3E37" w:rsidRPr="001003F1" w:rsidRDefault="00AE3E37">
      <w:pPr>
        <w:rPr>
          <w:rFonts w:ascii="Minion Pro"/>
          <w:sz w:val="24"/>
        </w:rPr>
        <w:sectPr w:rsidR="00AE3E37" w:rsidRPr="001003F1">
          <w:type w:val="continuous"/>
          <w:pgSz w:w="11910" w:h="16840"/>
          <w:pgMar w:top="1740" w:right="600" w:bottom="840" w:left="620" w:header="720" w:footer="720" w:gutter="0"/>
          <w:cols w:space="720"/>
        </w:sectPr>
      </w:pPr>
    </w:p>
    <w:p w:rsidR="002A01A6" w:rsidRPr="001003F1" w:rsidRDefault="002A01A6">
      <w:pPr>
        <w:pStyle w:val="BodyText"/>
        <w:spacing w:before="3"/>
        <w:rPr>
          <w:rFonts w:ascii="Minion Pro"/>
          <w:sz w:val="26"/>
        </w:rPr>
      </w:pPr>
    </w:p>
    <w:p w:rsidR="00AE3E37" w:rsidRPr="001003F1" w:rsidRDefault="00AE3E37">
      <w:pPr>
        <w:pStyle w:val="BodyText"/>
        <w:spacing w:before="3"/>
        <w:rPr>
          <w:rFonts w:ascii="Minion Pro"/>
          <w:sz w:val="26"/>
        </w:rPr>
      </w:pPr>
    </w:p>
    <w:sectPr w:rsidR="00AE3E37" w:rsidRPr="001003F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C8E" w:rsidRDefault="00C41C8E">
      <w:r>
        <w:separator/>
      </w:r>
    </w:p>
  </w:endnote>
  <w:endnote w:type="continuationSeparator" w:id="0">
    <w:p w:rsidR="00C41C8E" w:rsidRDefault="00C41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14:anchorId="0E02DEAC" wp14:editId="1F25282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14:anchorId="6F8143F1" wp14:editId="4D1859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14:anchorId="3A1F3182" wp14:editId="59BB13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C8E" w:rsidRDefault="00C41C8E">
      <w:r>
        <w:separator/>
      </w:r>
    </w:p>
  </w:footnote>
  <w:footnote w:type="continuationSeparator" w:id="0">
    <w:p w:rsidR="00C41C8E" w:rsidRDefault="00C41C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14:anchorId="001000E4" wp14:editId="00FEDC8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14:anchorId="4C5E2B1D" wp14:editId="53A8CE6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974F0"/>
    <w:multiLevelType w:val="hybridMultilevel"/>
    <w:tmpl w:val="FA88B83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907691A"/>
    <w:multiLevelType w:val="hybridMultilevel"/>
    <w:tmpl w:val="C442A5D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B0D7CEF"/>
    <w:multiLevelType w:val="hybridMultilevel"/>
    <w:tmpl w:val="58703AF0"/>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asarwdx5pzxtlevvff5fdv6dz9z0af9dtft&quot;&gt;PhD Final&lt;record-ids&gt;&lt;item&gt;2422&lt;/item&gt;&lt;item&gt;2835&lt;/item&gt;&lt;item&gt;3517&lt;/item&gt;&lt;item&gt;3926&lt;/item&gt;&lt;item&gt;3928&lt;/item&gt;&lt;/record-ids&gt;&lt;/item&gt;&lt;/Libraries&gt;"/>
  </w:docVars>
  <w:rsids>
    <w:rsidRoot w:val="00AE3E37"/>
    <w:rsid w:val="000D0F95"/>
    <w:rsid w:val="000E2911"/>
    <w:rsid w:val="001003F1"/>
    <w:rsid w:val="001263DF"/>
    <w:rsid w:val="002602E7"/>
    <w:rsid w:val="00292ED9"/>
    <w:rsid w:val="002A01A6"/>
    <w:rsid w:val="002B6B4B"/>
    <w:rsid w:val="00404E5B"/>
    <w:rsid w:val="00414F7B"/>
    <w:rsid w:val="004355DC"/>
    <w:rsid w:val="00454B04"/>
    <w:rsid w:val="004749B4"/>
    <w:rsid w:val="00494130"/>
    <w:rsid w:val="004F3523"/>
    <w:rsid w:val="00573FEF"/>
    <w:rsid w:val="005973B9"/>
    <w:rsid w:val="005B3A56"/>
    <w:rsid w:val="005C0138"/>
    <w:rsid w:val="006060CE"/>
    <w:rsid w:val="0063497F"/>
    <w:rsid w:val="00873DF0"/>
    <w:rsid w:val="008756E6"/>
    <w:rsid w:val="008A3218"/>
    <w:rsid w:val="0090191A"/>
    <w:rsid w:val="00916AF7"/>
    <w:rsid w:val="00973192"/>
    <w:rsid w:val="009B2D44"/>
    <w:rsid w:val="00A07E82"/>
    <w:rsid w:val="00A85DCA"/>
    <w:rsid w:val="00A9710C"/>
    <w:rsid w:val="00AE3E37"/>
    <w:rsid w:val="00B21A57"/>
    <w:rsid w:val="00B73BB8"/>
    <w:rsid w:val="00BB740F"/>
    <w:rsid w:val="00BE257E"/>
    <w:rsid w:val="00C33602"/>
    <w:rsid w:val="00C41C8E"/>
    <w:rsid w:val="00C46438"/>
    <w:rsid w:val="00CD6F55"/>
    <w:rsid w:val="00DE3104"/>
    <w:rsid w:val="00F5383A"/>
    <w:rsid w:val="00F72EEA"/>
    <w:rsid w:val="00F77947"/>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2A01A6"/>
    <w:pPr>
      <w:jc w:val="center"/>
    </w:pPr>
    <w:rPr>
      <w:noProof/>
      <w:sz w:val="18"/>
    </w:rPr>
  </w:style>
  <w:style w:type="character" w:customStyle="1" w:styleId="EndNoteBibliographyTitleChar">
    <w:name w:val="EndNote Bibliography Title Char"/>
    <w:basedOn w:val="BodyTextChar"/>
    <w:link w:val="EndNoteBibliographyTitle"/>
    <w:rsid w:val="002A01A6"/>
    <w:rPr>
      <w:rFonts w:ascii="Tw Cen MT" w:eastAsia="Tw Cen MT" w:hAnsi="Tw Cen MT" w:cs="Tw Cen MT"/>
      <w:noProof/>
      <w:sz w:val="18"/>
      <w:szCs w:val="18"/>
    </w:rPr>
  </w:style>
  <w:style w:type="paragraph" w:customStyle="1" w:styleId="EndNoteBibliography">
    <w:name w:val="EndNote Bibliography"/>
    <w:basedOn w:val="Normal"/>
    <w:link w:val="EndNoteBibliographyChar"/>
    <w:rsid w:val="002A01A6"/>
    <w:rPr>
      <w:noProof/>
      <w:sz w:val="18"/>
    </w:rPr>
  </w:style>
  <w:style w:type="character" w:customStyle="1" w:styleId="EndNoteBibliographyChar">
    <w:name w:val="EndNote Bibliography Char"/>
    <w:basedOn w:val="BodyTextChar"/>
    <w:link w:val="EndNoteBibliography"/>
    <w:rsid w:val="002A01A6"/>
    <w:rPr>
      <w:rFonts w:ascii="Tw Cen MT" w:eastAsia="Tw Cen MT" w:hAnsi="Tw Cen MT" w:cs="Tw Cen MT"/>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2A01A6"/>
    <w:pPr>
      <w:jc w:val="center"/>
    </w:pPr>
    <w:rPr>
      <w:noProof/>
      <w:sz w:val="18"/>
    </w:rPr>
  </w:style>
  <w:style w:type="character" w:customStyle="1" w:styleId="EndNoteBibliographyTitleChar">
    <w:name w:val="EndNote Bibliography Title Char"/>
    <w:basedOn w:val="BodyTextChar"/>
    <w:link w:val="EndNoteBibliographyTitle"/>
    <w:rsid w:val="002A01A6"/>
    <w:rPr>
      <w:rFonts w:ascii="Tw Cen MT" w:eastAsia="Tw Cen MT" w:hAnsi="Tw Cen MT" w:cs="Tw Cen MT"/>
      <w:noProof/>
      <w:sz w:val="18"/>
      <w:szCs w:val="18"/>
    </w:rPr>
  </w:style>
  <w:style w:type="paragraph" w:customStyle="1" w:styleId="EndNoteBibliography">
    <w:name w:val="EndNote Bibliography"/>
    <w:basedOn w:val="Normal"/>
    <w:link w:val="EndNoteBibliographyChar"/>
    <w:rsid w:val="002A01A6"/>
    <w:rPr>
      <w:noProof/>
      <w:sz w:val="18"/>
    </w:rPr>
  </w:style>
  <w:style w:type="character" w:customStyle="1" w:styleId="EndNoteBibliographyChar">
    <w:name w:val="EndNote Bibliography Char"/>
    <w:basedOn w:val="BodyTextChar"/>
    <w:link w:val="EndNoteBibliography"/>
    <w:rsid w:val="002A01A6"/>
    <w:rPr>
      <w:rFonts w:ascii="Tw Cen MT" w:eastAsia="Tw Cen MT" w:hAnsi="Tw Cen MT" w:cs="Tw Cen MT"/>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wolf@online.m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101F4-FB27-442E-8A54-ECD3FEF4E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IW</cp:lastModifiedBy>
  <cp:revision>15</cp:revision>
  <dcterms:created xsi:type="dcterms:W3CDTF">2016-08-31T12:33:00Z</dcterms:created>
  <dcterms:modified xsi:type="dcterms:W3CDTF">2016-10-02T08:49:00Z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