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232" w:rsidRDefault="00526232">
      <w:pPr>
        <w:pStyle w:val="Heading1"/>
        <w:spacing w:before="0" w:line="330" w:lineRule="atLeast"/>
        <w:divId w:val="2147237497"/>
        <w:rPr>
          <w:rFonts w:eastAsia="Times New Roman"/>
          <w:color w:val="737373"/>
          <w:sz w:val="20"/>
          <w:szCs w:val="20"/>
        </w:rPr>
      </w:pPr>
      <w:r>
        <w:rPr>
          <w:rFonts w:eastAsia="Times New Roman"/>
          <w:color w:val="737373"/>
          <w:sz w:val="20"/>
          <w:szCs w:val="20"/>
        </w:rPr>
        <w:t>Article</w:t>
      </w:r>
    </w:p>
    <w:p w:rsidR="00526232" w:rsidRDefault="00526232">
      <w:pPr>
        <w:pStyle w:val="Heading1"/>
        <w:spacing w:before="0" w:line="240" w:lineRule="auto"/>
        <w:rPr>
          <w:rFonts w:eastAsia="Times New Roman"/>
          <w:color w:val="505050"/>
          <w:sz w:val="48"/>
          <w:szCs w:val="48"/>
        </w:rPr>
      </w:pPr>
      <w:r>
        <w:rPr>
          <w:rStyle w:val="title-text"/>
          <w:rFonts w:eastAsia="Times New Roman"/>
          <w:color w:val="505050"/>
        </w:rPr>
        <w:t xml:space="preserve">Does bloody aspirate reflect the state of upper gastrointestinal mucosa in a critically ill </w:t>
      </w:r>
      <w:proofErr w:type="spellStart"/>
      <w:r>
        <w:rPr>
          <w:rStyle w:val="title-text"/>
          <w:rFonts w:eastAsia="Times New Roman"/>
          <w:color w:val="505050"/>
        </w:rPr>
        <w:t>newborn</w:t>
      </w:r>
      <w:proofErr w:type="spellEnd"/>
      <w:r>
        <w:rPr>
          <w:rStyle w:val="title-text"/>
          <w:rFonts w:eastAsia="Times New Roman"/>
          <w:color w:val="505050"/>
        </w:rPr>
        <w:t>?</w:t>
      </w:r>
    </w:p>
    <w:p w:rsidR="00526232" w:rsidRDefault="00526232">
      <w:pPr>
        <w:divId w:val="1310405782"/>
        <w:rPr>
          <w:rFonts w:ascii="Arial" w:eastAsia="Times New Roman" w:hAnsi="Arial" w:cs="Arial"/>
          <w:color w:val="2E2E2E"/>
          <w:sz w:val="21"/>
          <w:szCs w:val="21"/>
        </w:rPr>
      </w:pPr>
      <w:r>
        <w:rPr>
          <w:rStyle w:val="sr-only"/>
          <w:rFonts w:ascii="Arial" w:eastAsia="Times New Roman" w:hAnsi="Arial" w:cs="Arial"/>
          <w:color w:val="2E2E2E"/>
          <w:sz w:val="21"/>
          <w:szCs w:val="21"/>
          <w:bdr w:val="none" w:sz="0" w:space="0" w:color="auto" w:frame="1"/>
        </w:rPr>
        <w:t>Author links open overlay panel</w:t>
      </w:r>
      <w:bookmarkStart w:id="0" w:name="baep-author-id1"/>
      <w:r>
        <w:rPr>
          <w:rStyle w:val="sr-only"/>
          <w:rFonts w:ascii="Arial" w:eastAsia="Times New Roman" w:hAnsi="Arial" w:cs="Arial"/>
          <w:color w:val="2E2E2E"/>
          <w:sz w:val="21"/>
          <w:szCs w:val="21"/>
          <w:bdr w:val="none" w:sz="0" w:space="0" w:color="auto" w:frame="1"/>
        </w:rPr>
        <w:t xml:space="preserve"> </w:t>
      </w:r>
      <w:bookmarkStart w:id="1" w:name="_GoBack"/>
      <w:bookmarkEnd w:id="1"/>
      <w:r>
        <w:rPr>
          <w:rFonts w:ascii="Arial" w:eastAsia="Times New Roman" w:hAnsi="Arial" w:cs="Arial"/>
          <w:color w:val="2E2E2E"/>
          <w:sz w:val="21"/>
          <w:szCs w:val="21"/>
        </w:rPr>
        <w:fldChar w:fldCharType="begin"/>
      </w:r>
      <w:r>
        <w:rPr>
          <w:rFonts w:ascii="Arial" w:eastAsia="Times New Roman" w:hAnsi="Arial" w:cs="Arial"/>
          <w:color w:val="2E2E2E"/>
          <w:sz w:val="21"/>
          <w:szCs w:val="21"/>
        </w:rPr>
        <w:instrText xml:space="preserve"> HYPERLINK "https://www.sciencedirect.com/science/article/pii/S1687197912000755?via%3Dihub" \l "!" </w:instrText>
      </w:r>
      <w:r>
        <w:rPr>
          <w:rFonts w:ascii="Arial" w:eastAsia="Times New Roman" w:hAnsi="Arial" w:cs="Arial"/>
          <w:color w:val="2E2E2E"/>
          <w:sz w:val="21"/>
          <w:szCs w:val="21"/>
        </w:rPr>
        <w:fldChar w:fldCharType="separate"/>
      </w:r>
      <w:r>
        <w:rPr>
          <w:rStyle w:val="text"/>
          <w:rFonts w:ascii="Arial" w:eastAsia="Times New Roman" w:hAnsi="Arial" w:cs="Arial"/>
          <w:color w:val="0C7DBB"/>
          <w:sz w:val="21"/>
          <w:szCs w:val="21"/>
        </w:rPr>
        <w:t xml:space="preserve">Rania </w:t>
      </w:r>
      <w:proofErr w:type="spellStart"/>
      <w:r>
        <w:rPr>
          <w:rStyle w:val="text"/>
          <w:rFonts w:ascii="Arial" w:eastAsia="Times New Roman" w:hAnsi="Arial" w:cs="Arial"/>
          <w:color w:val="0C7DBB"/>
          <w:sz w:val="21"/>
          <w:szCs w:val="21"/>
        </w:rPr>
        <w:t>H.Tomerak</w:t>
      </w:r>
      <w:r>
        <w:rPr>
          <w:rStyle w:val="author-ref"/>
          <w:rFonts w:ascii="Arial" w:eastAsia="Times New Roman" w:hAnsi="Arial" w:cs="Arial"/>
          <w:color w:val="0C7DBB"/>
          <w:sz w:val="20"/>
          <w:szCs w:val="20"/>
          <w:vertAlign w:val="superscript"/>
        </w:rPr>
        <w:t>ab</w:t>
      </w:r>
      <w:r>
        <w:rPr>
          <w:rFonts w:ascii="Arial" w:eastAsia="Times New Roman" w:hAnsi="Arial" w:cs="Arial"/>
          <w:color w:val="2E2E2E"/>
          <w:sz w:val="21"/>
          <w:szCs w:val="21"/>
        </w:rPr>
        <w:fldChar w:fldCharType="end"/>
      </w:r>
      <w:bookmarkStart w:id="2" w:name="baep-author-id4"/>
      <w:bookmarkEnd w:id="0"/>
      <w:r>
        <w:rPr>
          <w:rFonts w:ascii="Arial" w:eastAsia="Times New Roman" w:hAnsi="Arial" w:cs="Arial"/>
          <w:color w:val="2E2E2E"/>
          <w:sz w:val="21"/>
          <w:szCs w:val="21"/>
        </w:rPr>
        <w:fldChar w:fldCharType="begin"/>
      </w:r>
      <w:r>
        <w:rPr>
          <w:rFonts w:ascii="Arial" w:eastAsia="Times New Roman" w:hAnsi="Arial" w:cs="Arial"/>
          <w:color w:val="2E2E2E"/>
          <w:sz w:val="21"/>
          <w:szCs w:val="21"/>
        </w:rPr>
        <w:instrText xml:space="preserve"> HYPERLINK "https://www.sciencedirect.com/science/article/pii/S1687197912000755?via%3Dihub" \l "!" </w:instrText>
      </w:r>
      <w:r>
        <w:rPr>
          <w:rFonts w:ascii="Arial" w:eastAsia="Times New Roman" w:hAnsi="Arial" w:cs="Arial"/>
          <w:color w:val="2E2E2E"/>
          <w:sz w:val="21"/>
          <w:szCs w:val="21"/>
        </w:rPr>
        <w:fldChar w:fldCharType="separate"/>
      </w:r>
      <w:r>
        <w:rPr>
          <w:rStyle w:val="text"/>
          <w:rFonts w:ascii="Arial" w:eastAsia="Times New Roman" w:hAnsi="Arial" w:cs="Arial"/>
          <w:color w:val="0C7DBB"/>
          <w:sz w:val="21"/>
          <w:szCs w:val="21"/>
        </w:rPr>
        <w:t>Amira</w:t>
      </w:r>
      <w:proofErr w:type="spellEnd"/>
      <w:r>
        <w:rPr>
          <w:rStyle w:val="text"/>
          <w:rFonts w:ascii="Arial" w:eastAsia="Times New Roman" w:hAnsi="Arial" w:cs="Arial"/>
          <w:color w:val="0C7DBB"/>
          <w:sz w:val="21"/>
          <w:szCs w:val="21"/>
        </w:rPr>
        <w:t xml:space="preserve"> </w:t>
      </w:r>
      <w:proofErr w:type="spellStart"/>
      <w:r>
        <w:rPr>
          <w:rStyle w:val="text"/>
          <w:rFonts w:ascii="Arial" w:eastAsia="Times New Roman" w:hAnsi="Arial" w:cs="Arial"/>
          <w:color w:val="0C7DBB"/>
          <w:sz w:val="21"/>
          <w:szCs w:val="21"/>
        </w:rPr>
        <w:t>H.Mahmoud</w:t>
      </w:r>
      <w:r>
        <w:rPr>
          <w:rStyle w:val="author-ref"/>
          <w:rFonts w:ascii="Arial" w:eastAsia="Times New Roman" w:hAnsi="Arial" w:cs="Arial"/>
          <w:color w:val="0C7DBB"/>
          <w:sz w:val="20"/>
          <w:szCs w:val="20"/>
          <w:vertAlign w:val="superscript"/>
        </w:rPr>
        <w:t>ac</w:t>
      </w:r>
      <w:proofErr w:type="spellEnd"/>
      <w:r>
        <w:rPr>
          <w:rFonts w:ascii="Arial" w:eastAsia="Times New Roman" w:hAnsi="Arial" w:cs="Arial"/>
          <w:color w:val="2E2E2E"/>
          <w:sz w:val="21"/>
          <w:szCs w:val="21"/>
        </w:rPr>
        <w:fldChar w:fldCharType="end"/>
      </w:r>
      <w:bookmarkEnd w:id="2"/>
    </w:p>
    <w:p w:rsidR="00526232" w:rsidRDefault="00526232">
      <w:pPr>
        <w:divId w:val="729235060"/>
        <w:rPr>
          <w:rFonts w:ascii="Arial" w:eastAsia="Times New Roman" w:hAnsi="Arial" w:cs="Arial"/>
          <w:color w:val="2E2E2E"/>
          <w:sz w:val="21"/>
          <w:szCs w:val="21"/>
        </w:rPr>
      </w:pPr>
      <w:r>
        <w:rPr>
          <w:rFonts w:ascii="Arial" w:eastAsia="Times New Roman" w:hAnsi="Arial" w:cs="Arial"/>
          <w:color w:val="2E2E2E"/>
          <w:sz w:val="21"/>
          <w:szCs w:val="21"/>
        </w:rPr>
        <w:t>Show more</w:t>
      </w:r>
    </w:p>
    <w:p w:rsidR="00526232" w:rsidRDefault="00526232">
      <w:pPr>
        <w:spacing w:line="360" w:lineRule="atLeast"/>
        <w:divId w:val="1939604408"/>
        <w:rPr>
          <w:rFonts w:ascii="Arial" w:eastAsia="Times New Roman" w:hAnsi="Arial" w:cs="Arial"/>
          <w:color w:val="2E2E2E"/>
          <w:sz w:val="21"/>
          <w:szCs w:val="21"/>
        </w:rPr>
      </w:pPr>
      <w:hyperlink r:id="rId4" w:tgtFrame="_blank" w:tooltip="Persistent link using digital object identifier" w:history="1">
        <w:r>
          <w:rPr>
            <w:rStyle w:val="Hyperlink"/>
            <w:rFonts w:ascii="Arial" w:eastAsia="Times New Roman" w:hAnsi="Arial" w:cs="Arial"/>
            <w:color w:val="0C7DBB"/>
            <w:sz w:val="21"/>
            <w:szCs w:val="21"/>
          </w:rPr>
          <w:t>https://doi.org/10.1016/j.ajg.2012.05.002</w:t>
        </w:r>
      </w:hyperlink>
      <w:hyperlink r:id="rId5" w:tgtFrame="_blank" w:history="1">
        <w:r>
          <w:rPr>
            <w:rStyle w:val="Hyperlink"/>
            <w:rFonts w:ascii="Arial" w:eastAsia="Times New Roman" w:hAnsi="Arial" w:cs="Arial"/>
            <w:color w:val="0C7DBB"/>
            <w:sz w:val="21"/>
            <w:szCs w:val="21"/>
          </w:rPr>
          <w:t>Get rights and content</w:t>
        </w:r>
      </w:hyperlink>
    </w:p>
    <w:p w:rsidR="00526232" w:rsidRDefault="00526232">
      <w:pPr>
        <w:pStyle w:val="Heading2"/>
        <w:spacing w:line="360" w:lineRule="atLeast"/>
        <w:divId w:val="1963923202"/>
        <w:rPr>
          <w:rFonts w:ascii="Times New Roman" w:eastAsia="Times New Roman" w:hAnsi="Times New Roman" w:cs="Times New Roman"/>
          <w:color w:val="505050"/>
          <w:sz w:val="36"/>
          <w:szCs w:val="36"/>
          <w:lang w:val="en"/>
        </w:rPr>
      </w:pPr>
      <w:r>
        <w:rPr>
          <w:rFonts w:eastAsia="Times New Roman"/>
          <w:color w:val="505050"/>
          <w:lang w:val="en"/>
        </w:rPr>
        <w:t>Abstract</w:t>
      </w:r>
    </w:p>
    <w:p w:rsidR="00526232" w:rsidRDefault="00526232">
      <w:pPr>
        <w:pStyle w:val="Heading3"/>
        <w:spacing w:line="360" w:lineRule="atLeast"/>
        <w:divId w:val="1032850538"/>
        <w:rPr>
          <w:rFonts w:eastAsia="Times New Roman"/>
          <w:color w:val="2E2E2E"/>
          <w:lang w:val="en"/>
        </w:rPr>
      </w:pPr>
      <w:r>
        <w:rPr>
          <w:rFonts w:eastAsia="Times New Roman"/>
          <w:color w:val="2E2E2E"/>
          <w:lang w:val="en"/>
        </w:rPr>
        <w:t>Background and study aims</w:t>
      </w:r>
    </w:p>
    <w:p w:rsidR="00526232" w:rsidRDefault="00526232">
      <w:pPr>
        <w:pStyle w:val="NormalWeb"/>
        <w:spacing w:before="0" w:beforeAutospacing="0" w:after="0" w:afterAutospacing="0" w:line="360" w:lineRule="atLeast"/>
        <w:divId w:val="1032850538"/>
        <w:rPr>
          <w:color w:val="2E2E2E"/>
          <w:lang w:val="en"/>
        </w:rPr>
      </w:pPr>
      <w:r>
        <w:rPr>
          <w:color w:val="2E2E2E"/>
          <w:lang w:val="en"/>
        </w:rPr>
        <w:t>Critically ill newborns have many risk factors to develop stress related mucosal lesions (SRML). We used upper </w:t>
      </w:r>
      <w:hyperlink r:id="rId6" w:tooltip="Learn more about Endoscopy from ScienceDirect's AI-generated Topic Pages" w:history="1">
        <w:r>
          <w:rPr>
            <w:rStyle w:val="Hyperlink"/>
            <w:color w:val="0C7DBB"/>
            <w:lang w:val="en"/>
          </w:rPr>
          <w:t>endoscopy</w:t>
        </w:r>
      </w:hyperlink>
      <w:r>
        <w:rPr>
          <w:color w:val="2E2E2E"/>
          <w:lang w:val="en"/>
        </w:rPr>
        <w:t> to evaluate the presence of SRML in these neonates, to know the specificity and sensitivity of the bloody </w:t>
      </w:r>
      <w:hyperlink r:id="rId7" w:tooltip="Learn more about Gastric Suction from ScienceDirect's AI-generated Topic Pages" w:history="1">
        <w:r>
          <w:rPr>
            <w:rStyle w:val="Hyperlink"/>
            <w:color w:val="0C7DBB"/>
            <w:lang w:val="en"/>
          </w:rPr>
          <w:t>gastric aspirate</w:t>
        </w:r>
      </w:hyperlink>
      <w:r>
        <w:rPr>
          <w:color w:val="2E2E2E"/>
          <w:lang w:val="en"/>
        </w:rPr>
        <w:t> to detect SRML and to identify the risk factors associated with the presence of SRML and bloody gastric aspirate.</w:t>
      </w:r>
    </w:p>
    <w:p w:rsidR="00526232" w:rsidRDefault="00526232">
      <w:pPr>
        <w:pStyle w:val="Heading3"/>
        <w:spacing w:line="360" w:lineRule="atLeast"/>
        <w:divId w:val="1318614373"/>
        <w:rPr>
          <w:rFonts w:eastAsia="Times New Roman"/>
          <w:color w:val="2E2E2E"/>
          <w:lang w:val="en"/>
        </w:rPr>
      </w:pPr>
      <w:r>
        <w:rPr>
          <w:rFonts w:eastAsia="Times New Roman"/>
          <w:color w:val="2E2E2E"/>
          <w:lang w:val="en"/>
        </w:rPr>
        <w:t>Patients and methods</w:t>
      </w:r>
    </w:p>
    <w:p w:rsidR="00526232" w:rsidRDefault="00526232">
      <w:pPr>
        <w:pStyle w:val="NormalWeb"/>
        <w:spacing w:before="0" w:beforeAutospacing="0" w:after="0" w:afterAutospacing="0" w:line="360" w:lineRule="atLeast"/>
        <w:divId w:val="1318614373"/>
        <w:rPr>
          <w:color w:val="2E2E2E"/>
          <w:lang w:val="en"/>
        </w:rPr>
      </w:pPr>
      <w:r>
        <w:rPr>
          <w:color w:val="2E2E2E"/>
          <w:lang w:val="en"/>
        </w:rPr>
        <w:t>This is a cross-sectional study done on 100 critically ill newborn after becoming clinically stable. SRML were diagnosed if there is </w:t>
      </w:r>
      <w:proofErr w:type="spellStart"/>
      <w:r>
        <w:rPr>
          <w:color w:val="2E2E2E"/>
          <w:lang w:val="en"/>
        </w:rPr>
        <w:fldChar w:fldCharType="begin"/>
      </w:r>
      <w:r>
        <w:rPr>
          <w:color w:val="2E2E2E"/>
          <w:lang w:val="en"/>
        </w:rPr>
        <w:instrText xml:space="preserve"> HYPERLINK "https://www.sciencedirect.com/topics/medicine-and-dentistry/hyperaemia" \o "Learn more about Hyperaemia from ScienceDirect's AI-generated Topic Pages" </w:instrText>
      </w:r>
      <w:r>
        <w:rPr>
          <w:color w:val="2E2E2E"/>
          <w:lang w:val="en"/>
        </w:rPr>
        <w:fldChar w:fldCharType="separate"/>
      </w:r>
      <w:r>
        <w:rPr>
          <w:rStyle w:val="Hyperlink"/>
          <w:color w:val="0C7DBB"/>
          <w:lang w:val="en"/>
        </w:rPr>
        <w:t>hyperaemia</w:t>
      </w:r>
      <w:proofErr w:type="spellEnd"/>
      <w:r>
        <w:rPr>
          <w:color w:val="2E2E2E"/>
          <w:lang w:val="en"/>
        </w:rPr>
        <w:fldChar w:fldCharType="end"/>
      </w:r>
      <w:r>
        <w:rPr>
          <w:color w:val="2E2E2E"/>
          <w:lang w:val="en"/>
        </w:rPr>
        <w:t>, erosions or </w:t>
      </w:r>
      <w:hyperlink r:id="rId8" w:tooltip="Learn more about Venous Ulcer from ScienceDirect's AI-generated Topic Pages" w:history="1">
        <w:r>
          <w:rPr>
            <w:rStyle w:val="Hyperlink"/>
            <w:color w:val="0C7DBB"/>
            <w:lang w:val="en"/>
          </w:rPr>
          <w:t>ulcers</w:t>
        </w:r>
      </w:hyperlink>
      <w:r>
        <w:rPr>
          <w:color w:val="2E2E2E"/>
          <w:lang w:val="en"/>
        </w:rPr>
        <w:t xml:space="preserve"> in the </w:t>
      </w:r>
      <w:proofErr w:type="spellStart"/>
      <w:r>
        <w:rPr>
          <w:color w:val="2E2E2E"/>
          <w:lang w:val="en"/>
        </w:rPr>
        <w:t>oesophagus</w:t>
      </w:r>
      <w:proofErr w:type="spellEnd"/>
      <w:r>
        <w:rPr>
          <w:color w:val="2E2E2E"/>
          <w:lang w:val="en"/>
        </w:rPr>
        <w:t>, stomach, and/or the </w:t>
      </w:r>
      <w:hyperlink r:id="rId9" w:tooltip="Learn more about Duodenum from ScienceDirect's AI-generated Topic Pages" w:history="1">
        <w:r>
          <w:rPr>
            <w:rStyle w:val="Hyperlink"/>
            <w:color w:val="0C7DBB"/>
            <w:lang w:val="en"/>
          </w:rPr>
          <w:t>duodenum</w:t>
        </w:r>
      </w:hyperlink>
      <w:r>
        <w:rPr>
          <w:color w:val="2E2E2E"/>
          <w:lang w:val="en"/>
        </w:rPr>
        <w:t>.</w:t>
      </w:r>
    </w:p>
    <w:p w:rsidR="00526232" w:rsidRDefault="00526232">
      <w:pPr>
        <w:pStyle w:val="Heading3"/>
        <w:spacing w:line="360" w:lineRule="atLeast"/>
        <w:divId w:val="1201669411"/>
        <w:rPr>
          <w:rFonts w:eastAsia="Times New Roman"/>
          <w:color w:val="2E2E2E"/>
          <w:lang w:val="en"/>
        </w:rPr>
      </w:pPr>
      <w:r>
        <w:rPr>
          <w:rFonts w:eastAsia="Times New Roman"/>
          <w:color w:val="2E2E2E"/>
          <w:lang w:val="en"/>
        </w:rPr>
        <w:t>Results</w:t>
      </w:r>
    </w:p>
    <w:p w:rsidR="00526232" w:rsidRDefault="00526232">
      <w:pPr>
        <w:pStyle w:val="NormalWeb"/>
        <w:spacing w:before="0" w:beforeAutospacing="0" w:after="0" w:afterAutospacing="0" w:line="360" w:lineRule="atLeast"/>
        <w:divId w:val="1201669411"/>
        <w:rPr>
          <w:color w:val="2E2E2E"/>
          <w:lang w:val="en"/>
        </w:rPr>
      </w:pPr>
      <w:r>
        <w:rPr>
          <w:color w:val="2E2E2E"/>
          <w:lang w:val="en"/>
        </w:rPr>
        <w:t>SRML were found in 77% of neonates in the NICU though frank bloody aspirate was detected in only 22% of neonates. The presence of bloody aspirate showed low sensitivity (24.68%) and high specificity (86.96%) for the presence of SRML. The presence of bloody gastric aspirate showed a double fold risk for the presence SRML (OR = 2.184, CI = 0.584–8.171). Factors associated with SRML included respiratory distress (</w:t>
      </w:r>
      <w:r>
        <w:rPr>
          <w:rStyle w:val="Emphasis"/>
          <w:color w:val="2E2E2E"/>
          <w:lang w:val="en"/>
        </w:rPr>
        <w:t>p</w:t>
      </w:r>
      <w:r>
        <w:rPr>
          <w:color w:val="2E2E2E"/>
          <w:lang w:val="en"/>
        </w:rPr>
        <w:t> = 0.000, risk = 4.006), the use of nasogastric tube (</w:t>
      </w:r>
      <w:r>
        <w:rPr>
          <w:rStyle w:val="Emphasis"/>
          <w:color w:val="2E2E2E"/>
          <w:lang w:val="en"/>
        </w:rPr>
        <w:t>p</w:t>
      </w:r>
      <w:r>
        <w:rPr>
          <w:color w:val="2E2E2E"/>
          <w:lang w:val="en"/>
        </w:rPr>
        <w:t> = 0.017, OR = 3.281) and the use of triple antibiotics (</w:t>
      </w:r>
      <w:r>
        <w:rPr>
          <w:rStyle w:val="Emphasis"/>
          <w:color w:val="2E2E2E"/>
          <w:lang w:val="en"/>
        </w:rPr>
        <w:t>p</w:t>
      </w:r>
      <w:r>
        <w:rPr>
          <w:color w:val="2E2E2E"/>
          <w:lang w:val="en"/>
        </w:rPr>
        <w:t> = 0.001, risk = 1.432). Factors associated with the presence of bloody gastric aspirate included the use of nasogastric tube (OR = 1.629, </w:t>
      </w:r>
      <w:r>
        <w:rPr>
          <w:rStyle w:val="Emphasis"/>
          <w:color w:val="2E2E2E"/>
          <w:lang w:val="en"/>
        </w:rPr>
        <w:t>p</w:t>
      </w:r>
      <w:r>
        <w:rPr>
          <w:color w:val="2E2E2E"/>
          <w:lang w:val="en"/>
        </w:rPr>
        <w:t> = 0.000) and the presence of </w:t>
      </w:r>
      <w:proofErr w:type="spellStart"/>
      <w:r>
        <w:rPr>
          <w:color w:val="2E2E2E"/>
          <w:lang w:val="en"/>
        </w:rPr>
        <w:fldChar w:fldCharType="begin"/>
      </w:r>
      <w:r>
        <w:rPr>
          <w:color w:val="2E2E2E"/>
          <w:lang w:val="en"/>
        </w:rPr>
        <w:instrText xml:space="preserve"> HYPERLINK "https://www.sciencedirect.com/topics/medicine-and-dentistry/coagulopathy" \o "Learn more about Coagulopathy from ScienceDirect's AI-generated Topic Pages" </w:instrText>
      </w:r>
      <w:r>
        <w:rPr>
          <w:color w:val="2E2E2E"/>
          <w:lang w:val="en"/>
        </w:rPr>
        <w:fldChar w:fldCharType="separate"/>
      </w:r>
      <w:r>
        <w:rPr>
          <w:rStyle w:val="Hyperlink"/>
          <w:color w:val="0C7DBB"/>
          <w:lang w:val="en"/>
        </w:rPr>
        <w:t>haemostatic</w:t>
      </w:r>
      <w:proofErr w:type="spellEnd"/>
      <w:r>
        <w:rPr>
          <w:rStyle w:val="Hyperlink"/>
          <w:color w:val="0C7DBB"/>
          <w:lang w:val="en"/>
        </w:rPr>
        <w:t xml:space="preserve"> disorders</w:t>
      </w:r>
      <w:r>
        <w:rPr>
          <w:color w:val="2E2E2E"/>
          <w:lang w:val="en"/>
        </w:rPr>
        <w:fldChar w:fldCharType="end"/>
      </w:r>
      <w:r>
        <w:rPr>
          <w:color w:val="2E2E2E"/>
          <w:lang w:val="en"/>
        </w:rPr>
        <w:t> (OR = 3.143, </w:t>
      </w:r>
      <w:r>
        <w:rPr>
          <w:rStyle w:val="Emphasis"/>
          <w:color w:val="2E2E2E"/>
          <w:lang w:val="en"/>
        </w:rPr>
        <w:t>p</w:t>
      </w:r>
      <w:r>
        <w:rPr>
          <w:color w:val="2E2E2E"/>
          <w:lang w:val="en"/>
        </w:rPr>
        <w:t xml:space="preserve"> = 0.039). It was also associated with lower </w:t>
      </w:r>
      <w:proofErr w:type="spellStart"/>
      <w:r>
        <w:rPr>
          <w:color w:val="2E2E2E"/>
          <w:lang w:val="en"/>
        </w:rPr>
        <w:t>haemoglobin</w:t>
      </w:r>
      <w:proofErr w:type="spellEnd"/>
      <w:r>
        <w:rPr>
          <w:color w:val="2E2E2E"/>
          <w:lang w:val="en"/>
        </w:rPr>
        <w:t xml:space="preserve"> levels (</w:t>
      </w:r>
      <w:r>
        <w:rPr>
          <w:rStyle w:val="Emphasis"/>
          <w:color w:val="2E2E2E"/>
          <w:lang w:val="en"/>
        </w:rPr>
        <w:t>p</w:t>
      </w:r>
      <w:r>
        <w:rPr>
          <w:color w:val="2E2E2E"/>
          <w:lang w:val="en"/>
        </w:rPr>
        <w:t> = 0.000).</w:t>
      </w:r>
    </w:p>
    <w:p w:rsidR="00526232" w:rsidRDefault="00526232">
      <w:pPr>
        <w:pStyle w:val="Heading3"/>
        <w:spacing w:line="360" w:lineRule="atLeast"/>
        <w:divId w:val="258636088"/>
        <w:rPr>
          <w:rFonts w:eastAsia="Times New Roman"/>
          <w:color w:val="2E2E2E"/>
          <w:lang w:val="en"/>
        </w:rPr>
      </w:pPr>
      <w:r>
        <w:rPr>
          <w:rFonts w:eastAsia="Times New Roman"/>
          <w:color w:val="2E2E2E"/>
          <w:lang w:val="en"/>
        </w:rPr>
        <w:t>Conclusion</w:t>
      </w:r>
    </w:p>
    <w:p w:rsidR="00526232" w:rsidRDefault="00526232">
      <w:pPr>
        <w:pStyle w:val="NormalWeb"/>
        <w:spacing w:before="0" w:beforeAutospacing="0" w:after="240" w:afterAutospacing="0" w:line="360" w:lineRule="atLeast"/>
        <w:divId w:val="258636088"/>
        <w:rPr>
          <w:color w:val="2E2E2E"/>
          <w:lang w:val="en"/>
        </w:rPr>
      </w:pPr>
      <w:r>
        <w:rPr>
          <w:color w:val="2E2E2E"/>
          <w:lang w:val="en"/>
        </w:rPr>
        <w:t>SRML represents an under-diagnosed problem in NICUs. Absence of bloody gastric aspirate does not exclude the presence of SRML</w:t>
      </w:r>
    </w:p>
    <w:p w:rsidR="00526232" w:rsidRDefault="00526232"/>
    <w:sectPr w:rsidR="005262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32"/>
    <w:rsid w:val="0052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298A9"/>
  <w15:chartTrackingRefBased/>
  <w15:docId w15:val="{0EB345D7-3BA9-424F-8FD7-BFEAE4AF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2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6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62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2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2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le-text">
    <w:name w:val="title-text"/>
    <w:basedOn w:val="DefaultParagraphFont"/>
    <w:rsid w:val="00526232"/>
  </w:style>
  <w:style w:type="character" w:customStyle="1" w:styleId="sr-only">
    <w:name w:val="sr-only"/>
    <w:basedOn w:val="DefaultParagraphFont"/>
    <w:rsid w:val="00526232"/>
  </w:style>
  <w:style w:type="character" w:styleId="Hyperlink">
    <w:name w:val="Hyperlink"/>
    <w:basedOn w:val="DefaultParagraphFont"/>
    <w:uiPriority w:val="99"/>
    <w:semiHidden/>
    <w:unhideWhenUsed/>
    <w:rsid w:val="00526232"/>
    <w:rPr>
      <w:color w:val="0000FF"/>
      <w:u w:val="single"/>
    </w:rPr>
  </w:style>
  <w:style w:type="character" w:customStyle="1" w:styleId="text">
    <w:name w:val="text"/>
    <w:basedOn w:val="DefaultParagraphFont"/>
    <w:rsid w:val="00526232"/>
  </w:style>
  <w:style w:type="character" w:customStyle="1" w:styleId="author-ref">
    <w:name w:val="author-ref"/>
    <w:basedOn w:val="DefaultParagraphFont"/>
    <w:rsid w:val="00526232"/>
  </w:style>
  <w:style w:type="paragraph" w:styleId="NormalWeb">
    <w:name w:val="Normal (Web)"/>
    <w:basedOn w:val="Normal"/>
    <w:uiPriority w:val="99"/>
    <w:semiHidden/>
    <w:unhideWhenUsed/>
    <w:rsid w:val="0052623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262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235060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91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232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1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60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venous-ulcer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www.sciencedirect.com/topics/medicine-and-dentistry/gastric-suction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www.sciencedirect.com/topics/medicine-and-dentistry/endoscopy" TargetMode="External" /><Relationship Id="rId11" Type="http://schemas.openxmlformats.org/officeDocument/2006/relationships/theme" Target="theme/theme1.xml" /><Relationship Id="rId5" Type="http://schemas.openxmlformats.org/officeDocument/2006/relationships/hyperlink" Target="https://s100.copyright.com/AppDispatchServlet?publisherName=ELS&amp;contentID=S1687197912000755&amp;orderBeanReset=true" TargetMode="External" /><Relationship Id="rId10" Type="http://schemas.openxmlformats.org/officeDocument/2006/relationships/fontTable" Target="fontTable.xml" /><Relationship Id="rId4" Type="http://schemas.openxmlformats.org/officeDocument/2006/relationships/hyperlink" Target="https://doi.org/10.1016/j.ajg.2012.05.002" TargetMode="External" /><Relationship Id="rId9" Type="http://schemas.openxmlformats.org/officeDocument/2006/relationships/hyperlink" Target="https://www.sciencedirect.com/topics/medicine-and-dentistry/duoden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Rania Tomerak</dc:creator>
  <cp:keywords/>
  <dc:description/>
  <cp:lastModifiedBy>Rania Tomerak</cp:lastModifiedBy>
  <cp:revision>2</cp:revision>
  <dcterms:created xsi:type="dcterms:W3CDTF">2019-12-13T09:46:00Z</dcterms:created>
  <dcterms:modified xsi:type="dcterms:W3CDTF">2019-12-13T09:46:00Z</dcterms:modified>
</cp:coreProperties>
</file>